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rPr>
          <w:rFonts w:ascii="楷体" w:hAnsi="楷体" w:eastAsia="楷体" w:cs="楷体"/>
        </w:rPr>
      </w:pPr>
    </w:p>
    <w:p>
      <w:pPr>
        <w:rPr>
          <w:rFonts w:ascii="楷体" w:hAnsi="楷体" w:eastAsia="楷体" w:cs="楷体"/>
        </w:rPr>
      </w:pPr>
    </w:p>
    <w:p>
      <w:pPr>
        <w:jc w:val="center"/>
        <w:rPr>
          <w:rFonts w:ascii="楷体" w:hAnsi="楷体" w:eastAsia="楷体" w:cs="楷体"/>
          <w:sz w:val="36"/>
          <w:szCs w:val="36"/>
        </w:rPr>
      </w:pPr>
      <w:r>
        <w:rPr>
          <w:rFonts w:hint="eastAsia" w:ascii="楷体" w:hAnsi="楷体" w:eastAsia="楷体" w:cs="楷体"/>
          <w:sz w:val="36"/>
          <w:szCs w:val="36"/>
        </w:rPr>
        <w:t>《肉与肉制品冷链温控运作规范》行标</w:t>
      </w:r>
    </w:p>
    <w:p>
      <w:pPr>
        <w:jc w:val="center"/>
        <w:rPr>
          <w:rFonts w:ascii="楷体" w:hAnsi="楷体" w:eastAsia="楷体" w:cs="楷体"/>
          <w:sz w:val="36"/>
          <w:szCs w:val="36"/>
        </w:rPr>
      </w:pPr>
      <w:r>
        <w:rPr>
          <w:rFonts w:hint="eastAsia" w:ascii="楷体" w:hAnsi="楷体" w:eastAsia="楷体" w:cs="楷体"/>
          <w:sz w:val="36"/>
          <w:szCs w:val="36"/>
        </w:rPr>
        <w:t>（征求</w:t>
      </w:r>
      <w:bookmarkStart w:id="0" w:name="_GoBack"/>
      <w:bookmarkEnd w:id="0"/>
      <w:r>
        <w:rPr>
          <w:rFonts w:hint="eastAsia" w:ascii="楷体" w:hAnsi="楷体" w:eastAsia="楷体" w:cs="楷体"/>
          <w:sz w:val="36"/>
          <w:szCs w:val="36"/>
        </w:rPr>
        <w:t>意见稿）编制说明</w:t>
      </w:r>
    </w:p>
    <w:p>
      <w:pPr>
        <w:spacing w:line="360" w:lineRule="auto"/>
        <w:rPr>
          <w:rFonts w:ascii="楷体" w:hAnsi="楷体" w:eastAsia="楷体" w:cs="楷体"/>
          <w:b/>
          <w:bCs/>
          <w:sz w:val="30"/>
          <w:szCs w:val="30"/>
        </w:rPr>
      </w:pPr>
      <w:r>
        <w:rPr>
          <w:rFonts w:hint="eastAsia" w:ascii="楷体" w:hAnsi="楷体" w:eastAsia="楷体" w:cs="楷体"/>
          <w:b/>
          <w:bCs/>
          <w:sz w:val="30"/>
          <w:szCs w:val="30"/>
        </w:rPr>
        <w:fldChar w:fldCharType="begin"/>
      </w:r>
      <w:r>
        <w:rPr>
          <w:rFonts w:hint="eastAsia" w:ascii="楷体" w:hAnsi="楷体" w:eastAsia="楷体" w:cs="楷体"/>
          <w:b/>
          <w:bCs/>
          <w:sz w:val="30"/>
          <w:szCs w:val="30"/>
        </w:rPr>
        <w:instrText xml:space="preserve"> = 1 \* CHINESENUM3 </w:instrText>
      </w:r>
      <w:r>
        <w:rPr>
          <w:rFonts w:hint="eastAsia" w:ascii="楷体" w:hAnsi="楷体" w:eastAsia="楷体" w:cs="楷体"/>
          <w:b/>
          <w:bCs/>
          <w:sz w:val="30"/>
          <w:szCs w:val="30"/>
        </w:rPr>
        <w:fldChar w:fldCharType="separate"/>
      </w:r>
      <w:r>
        <w:rPr>
          <w:rFonts w:hint="eastAsia" w:ascii="楷体" w:hAnsi="楷体" w:eastAsia="楷体" w:cs="楷体"/>
          <w:b/>
          <w:bCs/>
          <w:sz w:val="30"/>
          <w:szCs w:val="30"/>
        </w:rPr>
        <w:t>一</w:t>
      </w:r>
      <w:r>
        <w:rPr>
          <w:rFonts w:hint="eastAsia" w:ascii="楷体" w:hAnsi="楷体" w:eastAsia="楷体" w:cs="楷体"/>
          <w:b/>
          <w:bCs/>
          <w:sz w:val="30"/>
          <w:szCs w:val="30"/>
        </w:rPr>
        <w:fldChar w:fldCharType="end"/>
      </w:r>
      <w:r>
        <w:rPr>
          <w:rFonts w:hint="eastAsia" w:ascii="楷体" w:hAnsi="楷体" w:eastAsia="楷体" w:cs="楷体"/>
          <w:b/>
          <w:bCs/>
          <w:sz w:val="30"/>
          <w:szCs w:val="30"/>
        </w:rPr>
        <w:t>、项目来源：</w:t>
      </w:r>
    </w:p>
    <w:p>
      <w:pPr>
        <w:spacing w:line="360" w:lineRule="auto"/>
        <w:ind w:firstLine="600" w:firstLineChars="200"/>
        <w:rPr>
          <w:rFonts w:ascii="楷体" w:hAnsi="楷体" w:eastAsia="楷体" w:cs="楷体"/>
          <w:sz w:val="30"/>
          <w:szCs w:val="30"/>
        </w:rPr>
      </w:pPr>
      <w:r>
        <w:rPr>
          <w:rFonts w:hint="eastAsia" w:ascii="楷体" w:hAnsi="楷体" w:eastAsia="楷体" w:cs="楷体"/>
          <w:sz w:val="30"/>
          <w:szCs w:val="30"/>
        </w:rPr>
        <w:t>《肉与肉制品冷链温控运作规范》是经国家发展改革委委员会批准列入“2014年物流行业标准项目计划”（发改办经贸【2014】2253）号的行业标准项目之一。该标准由中国物流与采购联合会、全国物流标准化技术委员会归口，中国物流与采购联合会冷链物流专业委员会与河南鲜易供应链股份有限公司等单位共同组织起草。</w:t>
      </w:r>
    </w:p>
    <w:p>
      <w:pPr>
        <w:pStyle w:val="11"/>
        <w:ind w:firstLine="600"/>
        <w:rPr>
          <w:rFonts w:ascii="楷体" w:hAnsi="楷体" w:eastAsia="楷体" w:cs="楷体"/>
          <w:sz w:val="30"/>
          <w:szCs w:val="30"/>
        </w:rPr>
      </w:pPr>
      <w:r>
        <w:rPr>
          <w:rFonts w:hint="eastAsia" w:ascii="楷体" w:hAnsi="楷体" w:eastAsia="楷体" w:cs="楷体"/>
          <w:sz w:val="30"/>
          <w:szCs w:val="30"/>
        </w:rPr>
        <w:t xml:space="preserve">《肉与肉制品冷链温控运作规范》规定了本标准规定了肉与肉制品冷链温控的术语和定义、基本原则、基本要求、冷链流程、包装与标识、风险控制等方面的要求。 </w:t>
      </w:r>
    </w:p>
    <w:p>
      <w:pPr>
        <w:spacing w:line="360" w:lineRule="auto"/>
        <w:ind w:firstLine="600" w:firstLineChars="200"/>
        <w:rPr>
          <w:rFonts w:hint="eastAsia" w:ascii="楷体" w:hAnsi="楷体" w:eastAsia="楷体" w:cs="楷体"/>
          <w:sz w:val="30"/>
          <w:szCs w:val="30"/>
        </w:rPr>
      </w:pPr>
      <w:r>
        <w:rPr>
          <w:rFonts w:hint="eastAsia" w:ascii="楷体" w:hAnsi="楷体" w:eastAsia="楷体" w:cs="楷体"/>
          <w:sz w:val="30"/>
          <w:szCs w:val="30"/>
        </w:rPr>
        <w:t>此标准适用于中心温度0-4℃的冷藏</w:t>
      </w:r>
      <w:r>
        <w:rPr>
          <w:rFonts w:hint="eastAsia" w:ascii="楷体" w:hAnsi="楷体" w:eastAsia="楷体" w:cs="楷体"/>
          <w:sz w:val="30"/>
          <w:szCs w:val="30"/>
          <w:lang w:eastAsia="zh-CN"/>
        </w:rPr>
        <w:t>肉与肉</w:t>
      </w:r>
      <w:r>
        <w:rPr>
          <w:rFonts w:hint="eastAsia" w:ascii="楷体" w:hAnsi="楷体" w:eastAsia="楷体" w:cs="楷体"/>
          <w:sz w:val="30"/>
          <w:szCs w:val="30"/>
        </w:rPr>
        <w:t>制品和-18℃以下的冷冻</w:t>
      </w:r>
      <w:r>
        <w:rPr>
          <w:rFonts w:hint="eastAsia" w:ascii="楷体" w:hAnsi="楷体" w:eastAsia="楷体" w:cs="楷体"/>
          <w:sz w:val="30"/>
          <w:szCs w:val="30"/>
          <w:lang w:eastAsia="zh-CN"/>
        </w:rPr>
        <w:t>肉与肉</w:t>
      </w:r>
      <w:r>
        <w:rPr>
          <w:rFonts w:hint="eastAsia" w:ascii="楷体" w:hAnsi="楷体" w:eastAsia="楷体" w:cs="楷体"/>
          <w:sz w:val="30"/>
          <w:szCs w:val="30"/>
        </w:rPr>
        <w:t>制品产品的冷链运作。</w:t>
      </w:r>
      <w:r>
        <w:rPr>
          <w:rFonts w:hint="eastAsia" w:ascii="楷体" w:hAnsi="楷体" w:eastAsia="楷体" w:cs="楷体"/>
          <w:sz w:val="30"/>
          <w:szCs w:val="30"/>
          <w:lang w:eastAsia="zh-CN"/>
        </w:rPr>
        <w:t>肉与肉</w:t>
      </w:r>
      <w:r>
        <w:rPr>
          <w:rFonts w:hint="eastAsia" w:ascii="楷体" w:hAnsi="楷体" w:eastAsia="楷体" w:cs="楷体"/>
          <w:sz w:val="30"/>
          <w:szCs w:val="30"/>
        </w:rPr>
        <w:t>制品产品生产过程中涉及服务标准也可参照该标准执行。</w:t>
      </w:r>
    </w:p>
    <w:p>
      <w:pPr>
        <w:numPr>
          <w:ilvl w:val="0"/>
          <w:numId w:val="3"/>
        </w:numPr>
        <w:spacing w:line="360" w:lineRule="auto"/>
        <w:rPr>
          <w:rFonts w:hint="eastAsia" w:ascii="楷体" w:hAnsi="楷体" w:eastAsia="楷体" w:cs="楷体"/>
          <w:b/>
          <w:bCs/>
          <w:sz w:val="30"/>
          <w:szCs w:val="30"/>
          <w:lang w:val="en-US" w:eastAsia="zh-CN"/>
        </w:rPr>
      </w:pPr>
      <w:r>
        <w:rPr>
          <w:rFonts w:hint="eastAsia" w:ascii="楷体" w:hAnsi="楷体" w:eastAsia="楷体" w:cs="楷体"/>
          <w:b/>
          <w:bCs/>
          <w:sz w:val="30"/>
          <w:szCs w:val="30"/>
          <w:lang w:val="en-US" w:eastAsia="zh-CN"/>
        </w:rPr>
        <w:t>标准名称的修改</w:t>
      </w:r>
    </w:p>
    <w:p>
      <w:pPr>
        <w:spacing w:line="360" w:lineRule="auto"/>
        <w:ind w:firstLine="600" w:firstLineChars="200"/>
        <w:rPr>
          <w:rFonts w:hint="eastAsia" w:ascii="楷体" w:hAnsi="楷体" w:eastAsia="楷体" w:cs="楷体"/>
          <w:sz w:val="30"/>
          <w:szCs w:val="30"/>
        </w:rPr>
      </w:pPr>
      <w:r>
        <w:rPr>
          <w:rFonts w:hint="eastAsia" w:ascii="楷体" w:hAnsi="楷体" w:eastAsia="楷体" w:cs="楷体"/>
          <w:sz w:val="30"/>
          <w:szCs w:val="30"/>
          <w:lang w:val="en-US" w:eastAsia="zh-CN"/>
        </w:rPr>
        <w:t>标准申报时名称为</w:t>
      </w:r>
      <w:r>
        <w:rPr>
          <w:rFonts w:hint="eastAsia" w:ascii="楷体" w:hAnsi="楷体" w:eastAsia="楷体" w:cs="楷体"/>
          <w:sz w:val="30"/>
          <w:szCs w:val="30"/>
          <w:lang w:eastAsia="zh-CN"/>
        </w:rPr>
        <w:t>《</w:t>
      </w:r>
      <w:r>
        <w:rPr>
          <w:rFonts w:hint="eastAsia" w:ascii="楷体" w:hAnsi="楷体" w:eastAsia="楷体" w:cs="楷体"/>
          <w:sz w:val="30"/>
          <w:szCs w:val="30"/>
        </w:rPr>
        <w:t>肉禽类冷链温控运作规范</w:t>
      </w:r>
      <w:r>
        <w:rPr>
          <w:rFonts w:hint="eastAsia" w:ascii="楷体" w:hAnsi="楷体" w:eastAsia="楷体" w:cs="楷体"/>
          <w:sz w:val="30"/>
          <w:szCs w:val="30"/>
          <w:lang w:eastAsia="zh-CN"/>
        </w:rPr>
        <w:t>》。</w:t>
      </w:r>
      <w:r>
        <w:rPr>
          <w:rFonts w:hint="eastAsia" w:ascii="楷体" w:hAnsi="楷体" w:eastAsia="楷体" w:cs="楷体"/>
          <w:sz w:val="30"/>
          <w:szCs w:val="30"/>
        </w:rPr>
        <w:t>肉禽类，是一个外延的概念，肉禽属于原料，以及它的延伸产品是加工,肉禽类从字面上理解可能仅包括生食肉禽类，而不包含肉禽加工制品，而标准编制的范围是涵盖畜肉、禽肉及其制品，</w:t>
      </w:r>
      <w:r>
        <w:rPr>
          <w:rFonts w:hint="eastAsia" w:ascii="楷体" w:hAnsi="楷体" w:eastAsia="楷体" w:cs="楷体"/>
          <w:sz w:val="30"/>
          <w:szCs w:val="30"/>
          <w:lang w:val="en-US" w:eastAsia="zh-CN"/>
        </w:rPr>
        <w:t>所以</w:t>
      </w:r>
      <w:r>
        <w:rPr>
          <w:rFonts w:hint="eastAsia" w:ascii="楷体" w:hAnsi="楷体" w:eastAsia="楷体" w:cs="楷体"/>
          <w:sz w:val="30"/>
          <w:szCs w:val="30"/>
        </w:rPr>
        <w:t>标准名称更改为《肉</w:t>
      </w:r>
      <w:r>
        <w:rPr>
          <w:rFonts w:hint="eastAsia" w:ascii="楷体" w:hAnsi="楷体" w:eastAsia="楷体" w:cs="楷体"/>
          <w:sz w:val="30"/>
          <w:szCs w:val="30"/>
          <w:lang w:val="en-US" w:eastAsia="zh-CN"/>
        </w:rPr>
        <w:t>与</w:t>
      </w:r>
      <w:r>
        <w:rPr>
          <w:rFonts w:hint="eastAsia" w:ascii="楷体" w:hAnsi="楷体" w:eastAsia="楷体" w:cs="楷体"/>
          <w:sz w:val="30"/>
          <w:szCs w:val="30"/>
        </w:rPr>
        <w:t>肉制品冷链温控运作规范》。</w:t>
      </w:r>
    </w:p>
    <w:p>
      <w:pPr>
        <w:numPr>
          <w:numId w:val="0"/>
        </w:numPr>
        <w:spacing w:line="360" w:lineRule="auto"/>
        <w:rPr>
          <w:rFonts w:hint="eastAsia" w:ascii="楷体" w:hAnsi="楷体" w:eastAsia="楷体" w:cs="楷体"/>
          <w:b/>
          <w:bCs/>
          <w:sz w:val="30"/>
          <w:szCs w:val="30"/>
          <w:lang w:val="en-US" w:eastAsia="zh-CN"/>
        </w:rPr>
      </w:pPr>
    </w:p>
    <w:p>
      <w:pPr>
        <w:spacing w:line="360" w:lineRule="auto"/>
        <w:rPr>
          <w:rFonts w:ascii="楷体" w:hAnsi="楷体" w:eastAsia="楷体" w:cs="楷体"/>
          <w:sz w:val="30"/>
          <w:szCs w:val="30"/>
        </w:rPr>
      </w:pPr>
      <w:r>
        <w:rPr>
          <w:rFonts w:hint="eastAsia" w:ascii="楷体" w:hAnsi="楷体" w:eastAsia="楷体" w:cs="楷体"/>
          <w:b/>
          <w:bCs/>
          <w:sz w:val="30"/>
          <w:szCs w:val="30"/>
          <w:lang w:val="en-US" w:eastAsia="zh-CN"/>
        </w:rPr>
        <w:t>三</w:t>
      </w:r>
      <w:r>
        <w:rPr>
          <w:rFonts w:hint="eastAsia" w:ascii="楷体" w:hAnsi="楷体" w:eastAsia="楷体" w:cs="楷体"/>
          <w:b/>
          <w:bCs/>
          <w:sz w:val="30"/>
          <w:szCs w:val="30"/>
        </w:rPr>
        <w:t>、标准制定的目的和意义</w:t>
      </w:r>
    </w:p>
    <w:p>
      <w:pPr>
        <w:spacing w:line="360" w:lineRule="auto"/>
        <w:ind w:firstLine="600" w:firstLineChars="200"/>
        <w:rPr>
          <w:rFonts w:ascii="楷体" w:hAnsi="楷体" w:eastAsia="楷体" w:cs="楷体"/>
          <w:sz w:val="30"/>
          <w:szCs w:val="30"/>
        </w:rPr>
      </w:pPr>
      <w:r>
        <w:rPr>
          <w:rFonts w:hint="eastAsia" w:ascii="楷体" w:hAnsi="楷体" w:eastAsia="楷体" w:cs="楷体"/>
          <w:sz w:val="30"/>
          <w:szCs w:val="30"/>
        </w:rPr>
        <w:t>在扩大内需、拉动消费的大环境下，</w:t>
      </w:r>
      <w:r>
        <w:rPr>
          <w:rFonts w:hint="eastAsia" w:ascii="楷体" w:hAnsi="楷体" w:eastAsia="楷体" w:cs="楷体"/>
          <w:sz w:val="30"/>
          <w:szCs w:val="30"/>
          <w:lang w:eastAsia="zh-CN"/>
        </w:rPr>
        <w:t>肉与肉</w:t>
      </w:r>
      <w:r>
        <w:rPr>
          <w:rFonts w:hint="eastAsia" w:ascii="楷体" w:hAnsi="楷体" w:eastAsia="楷体" w:cs="楷体"/>
          <w:sz w:val="30"/>
          <w:szCs w:val="30"/>
        </w:rPr>
        <w:t>制品产品消费需求连续多年实现快速增长。我国的食品消费方式发生了很大改变，大型量贩店、中型生鲜超市、小型便利商店等成为我国食品流通的主渠道。食品消费方式、结构的变化，对食品物流过程的品质、卫生等提出了更加严格的要求。食品流通产业管理、技术、效率的95％取决于物流。</w:t>
      </w:r>
    </w:p>
    <w:p>
      <w:pPr>
        <w:spacing w:line="360" w:lineRule="auto"/>
        <w:ind w:firstLine="600" w:firstLineChars="200"/>
        <w:rPr>
          <w:rFonts w:hint="eastAsia" w:ascii="楷体" w:hAnsi="楷体" w:eastAsia="楷体" w:cs="楷体"/>
          <w:sz w:val="30"/>
          <w:szCs w:val="30"/>
        </w:rPr>
      </w:pPr>
      <w:r>
        <w:rPr>
          <w:rFonts w:hint="eastAsia" w:ascii="楷体" w:hAnsi="楷体" w:eastAsia="楷体" w:cs="楷体"/>
          <w:sz w:val="30"/>
          <w:szCs w:val="30"/>
        </w:rPr>
        <w:t>美国、加拿大、日本等发达国家的肉禽冷链流通率已经达到100％，我国肉类冷链流通率只达到15％。冷链发展的滞后在相当程度上影响着食品产业的发展。同时，肉类产品在流通过程中损耗达到10%-15%。</w:t>
      </w:r>
    </w:p>
    <w:p>
      <w:pPr>
        <w:spacing w:line="360" w:lineRule="auto"/>
        <w:ind w:firstLine="600" w:firstLineChars="200"/>
        <w:rPr>
          <w:rFonts w:ascii="楷体" w:hAnsi="楷体" w:eastAsia="楷体" w:cs="楷体"/>
          <w:sz w:val="30"/>
          <w:szCs w:val="30"/>
        </w:rPr>
      </w:pPr>
      <w:r>
        <w:rPr>
          <w:rFonts w:hint="eastAsia" w:ascii="楷体" w:hAnsi="楷体" w:eastAsia="楷体" w:cs="楷体"/>
          <w:sz w:val="30"/>
          <w:szCs w:val="30"/>
        </w:rPr>
        <w:t>《肉与肉制品冷链温控运作规范》行业标准的制定，对于统一和规范目前国内</w:t>
      </w:r>
      <w:r>
        <w:rPr>
          <w:rFonts w:hint="eastAsia" w:ascii="楷体" w:hAnsi="楷体" w:eastAsia="楷体" w:cs="楷体"/>
          <w:sz w:val="30"/>
          <w:szCs w:val="30"/>
          <w:lang w:eastAsia="zh-CN"/>
        </w:rPr>
        <w:t>肉与肉</w:t>
      </w:r>
      <w:r>
        <w:rPr>
          <w:rFonts w:hint="eastAsia" w:ascii="楷体" w:hAnsi="楷体" w:eastAsia="楷体" w:cs="楷体"/>
          <w:sz w:val="30"/>
          <w:szCs w:val="30"/>
        </w:rPr>
        <w:t>制品冷链物流的运作，保障</w:t>
      </w:r>
      <w:r>
        <w:rPr>
          <w:rFonts w:hint="eastAsia" w:ascii="楷体" w:hAnsi="楷体" w:eastAsia="楷体" w:cs="楷体"/>
          <w:sz w:val="30"/>
          <w:szCs w:val="30"/>
          <w:lang w:eastAsia="zh-CN"/>
        </w:rPr>
        <w:t>肉与肉</w:t>
      </w:r>
      <w:r>
        <w:rPr>
          <w:rFonts w:hint="eastAsia" w:ascii="楷体" w:hAnsi="楷体" w:eastAsia="楷体" w:cs="楷体"/>
          <w:sz w:val="30"/>
          <w:szCs w:val="30"/>
        </w:rPr>
        <w:t>制品产品的消费安全，促进</w:t>
      </w:r>
      <w:r>
        <w:rPr>
          <w:rFonts w:hint="eastAsia" w:ascii="楷体" w:hAnsi="楷体" w:eastAsia="楷体" w:cs="楷体"/>
          <w:sz w:val="30"/>
          <w:szCs w:val="30"/>
          <w:lang w:eastAsia="zh-CN"/>
        </w:rPr>
        <w:t>肉与肉</w:t>
      </w:r>
      <w:r>
        <w:rPr>
          <w:rFonts w:hint="eastAsia" w:ascii="楷体" w:hAnsi="楷体" w:eastAsia="楷体" w:cs="楷体"/>
          <w:sz w:val="30"/>
          <w:szCs w:val="30"/>
        </w:rPr>
        <w:t>制品物流行业良性发展，适应我国物流服务行业发展的新形势和国际市场对肉品的新要求具有重要的意义。</w:t>
      </w:r>
    </w:p>
    <w:p>
      <w:pPr>
        <w:numPr>
          <w:numId w:val="0"/>
        </w:numPr>
        <w:spacing w:line="360" w:lineRule="auto"/>
        <w:rPr>
          <w:rFonts w:ascii="楷体" w:hAnsi="楷体" w:eastAsia="楷体" w:cs="楷体"/>
          <w:b/>
          <w:bCs/>
          <w:sz w:val="30"/>
          <w:szCs w:val="30"/>
        </w:rPr>
      </w:pPr>
      <w:r>
        <w:rPr>
          <w:rFonts w:hint="eastAsia" w:ascii="楷体" w:hAnsi="楷体" w:eastAsia="楷体" w:cs="楷体"/>
          <w:b/>
          <w:bCs/>
          <w:sz w:val="30"/>
          <w:szCs w:val="30"/>
          <w:lang w:val="en-US" w:eastAsia="zh-CN"/>
        </w:rPr>
        <w:t>四、</w:t>
      </w:r>
      <w:r>
        <w:rPr>
          <w:rFonts w:hint="eastAsia" w:ascii="楷体" w:hAnsi="楷体" w:eastAsia="楷体" w:cs="楷体"/>
          <w:b/>
          <w:bCs/>
          <w:sz w:val="30"/>
          <w:szCs w:val="30"/>
        </w:rPr>
        <w:t>标准编制的原则和依据</w:t>
      </w:r>
    </w:p>
    <w:p>
      <w:pPr>
        <w:numPr>
          <w:ilvl w:val="0"/>
          <w:numId w:val="4"/>
        </w:numPr>
        <w:spacing w:line="360" w:lineRule="auto"/>
        <w:ind w:firstLine="480"/>
        <w:rPr>
          <w:rFonts w:ascii="楷体" w:hAnsi="楷体" w:eastAsia="楷体" w:cs="楷体"/>
          <w:sz w:val="30"/>
          <w:szCs w:val="30"/>
        </w:rPr>
      </w:pPr>
      <w:r>
        <w:rPr>
          <w:rFonts w:hint="eastAsia" w:ascii="楷体" w:hAnsi="楷体" w:eastAsia="楷体" w:cs="楷体"/>
          <w:sz w:val="30"/>
          <w:szCs w:val="30"/>
        </w:rPr>
        <w:t>从我国实际出发，促进物流服务标准发展的原则</w:t>
      </w:r>
    </w:p>
    <w:p>
      <w:pPr>
        <w:spacing w:line="360" w:lineRule="auto"/>
        <w:ind w:firstLine="600" w:firstLineChars="200"/>
        <w:rPr>
          <w:rFonts w:ascii="楷体" w:hAnsi="楷体" w:eastAsia="楷体" w:cs="楷体"/>
          <w:sz w:val="30"/>
          <w:szCs w:val="30"/>
        </w:rPr>
      </w:pPr>
      <w:r>
        <w:rPr>
          <w:rFonts w:hint="eastAsia" w:ascii="楷体" w:hAnsi="楷体" w:eastAsia="楷体" w:cs="楷体"/>
          <w:sz w:val="30"/>
          <w:szCs w:val="30"/>
        </w:rPr>
        <w:t>目前我国已发布的物流相关的国家标准、行业标准共计520多项，经过调研，我国现有标准多以“产品”标准为主体，仅涉及物流设备、物流技术方法、物流管理、物流信息等，现代物流作为一项新兴的服务产业，针对国内消费市场极大的</w:t>
      </w:r>
      <w:r>
        <w:rPr>
          <w:rFonts w:hint="eastAsia" w:ascii="楷体" w:hAnsi="楷体" w:eastAsia="楷体" w:cs="楷体"/>
          <w:sz w:val="30"/>
          <w:szCs w:val="30"/>
          <w:lang w:eastAsia="zh-CN"/>
        </w:rPr>
        <w:t>肉与肉</w:t>
      </w:r>
      <w:r>
        <w:rPr>
          <w:rFonts w:hint="eastAsia" w:ascii="楷体" w:hAnsi="楷体" w:eastAsia="楷体" w:cs="楷体"/>
          <w:sz w:val="30"/>
          <w:szCs w:val="30"/>
        </w:rPr>
        <w:t>制品产品，制定了将流通加工、运输配送结合的物流服务运作标准。</w:t>
      </w:r>
    </w:p>
    <w:p>
      <w:pPr>
        <w:numPr>
          <w:ilvl w:val="0"/>
          <w:numId w:val="4"/>
        </w:numPr>
        <w:spacing w:line="360" w:lineRule="auto"/>
        <w:ind w:firstLine="480"/>
        <w:rPr>
          <w:rFonts w:ascii="楷体" w:hAnsi="楷体" w:eastAsia="楷体" w:cs="楷体"/>
          <w:sz w:val="30"/>
          <w:szCs w:val="30"/>
        </w:rPr>
      </w:pPr>
      <w:r>
        <w:rPr>
          <w:rFonts w:hint="eastAsia" w:ascii="楷体" w:hAnsi="楷体" w:eastAsia="楷体" w:cs="楷体"/>
          <w:sz w:val="30"/>
          <w:szCs w:val="30"/>
        </w:rPr>
        <w:t>引领冷链物流行业市场化运作，提高服务质量的原则</w:t>
      </w:r>
    </w:p>
    <w:p>
      <w:pPr>
        <w:spacing w:line="360" w:lineRule="auto"/>
        <w:rPr>
          <w:rFonts w:ascii="楷体" w:hAnsi="楷体" w:eastAsia="楷体" w:cs="楷体"/>
          <w:sz w:val="30"/>
          <w:szCs w:val="30"/>
        </w:rPr>
      </w:pPr>
      <w:r>
        <w:rPr>
          <w:rFonts w:hint="eastAsia" w:ascii="楷体" w:hAnsi="楷体" w:eastAsia="楷体" w:cs="楷体"/>
          <w:sz w:val="30"/>
          <w:szCs w:val="30"/>
        </w:rPr>
        <w:t xml:space="preserve">      目前中国物流领域特别是冷链运输领域，市场化程度很低，我国生鲜产品的物流配送业务多由生产商和经销商完成的，同时缺乏行业规范和监管，导致进入门槛低，扰乱了市场秩序，大大影响了肉禽产品的在途质量、配送的准确性和及时性。《肉与肉制品冷链温控运作规范》充分考虑了市场环境、行业现状，规范了冷链物流行业市场化运作，利于提高服务质量。</w:t>
      </w:r>
    </w:p>
    <w:p>
      <w:pPr>
        <w:numPr>
          <w:ilvl w:val="0"/>
          <w:numId w:val="4"/>
        </w:numPr>
        <w:spacing w:line="360" w:lineRule="auto"/>
        <w:ind w:firstLine="480"/>
        <w:rPr>
          <w:rFonts w:ascii="楷体" w:hAnsi="楷体" w:eastAsia="楷体" w:cs="楷体"/>
          <w:sz w:val="30"/>
          <w:szCs w:val="30"/>
          <w:shd w:val="clear" w:color="auto" w:fill="FFFFFF"/>
        </w:rPr>
      </w:pPr>
      <w:r>
        <w:rPr>
          <w:rFonts w:hint="eastAsia" w:ascii="楷体" w:hAnsi="楷体" w:eastAsia="楷体" w:cs="楷体"/>
          <w:sz w:val="30"/>
          <w:szCs w:val="30"/>
        </w:rPr>
        <w:t>以建立健全完整的</w:t>
      </w:r>
      <w:r>
        <w:rPr>
          <w:rFonts w:hint="eastAsia" w:ascii="楷体" w:hAnsi="楷体" w:eastAsia="楷体" w:cs="楷体"/>
          <w:sz w:val="30"/>
          <w:szCs w:val="30"/>
          <w:lang w:eastAsia="zh-CN"/>
        </w:rPr>
        <w:t>肉与肉</w:t>
      </w:r>
      <w:r>
        <w:rPr>
          <w:rFonts w:hint="eastAsia" w:ascii="楷体" w:hAnsi="楷体" w:eastAsia="楷体" w:cs="楷体"/>
          <w:sz w:val="30"/>
          <w:szCs w:val="30"/>
        </w:rPr>
        <w:t>制品产品冷链物流服务体系的原则</w:t>
      </w:r>
    </w:p>
    <w:p>
      <w:pPr>
        <w:spacing w:line="360" w:lineRule="auto"/>
        <w:rPr>
          <w:rFonts w:ascii="楷体" w:hAnsi="楷体" w:eastAsia="楷体" w:cs="楷体"/>
          <w:sz w:val="30"/>
          <w:szCs w:val="30"/>
        </w:rPr>
      </w:pPr>
      <w:r>
        <w:rPr>
          <w:rFonts w:hint="eastAsia" w:ascii="楷体" w:hAnsi="楷体" w:eastAsia="楷体" w:cs="楷体"/>
          <w:sz w:val="30"/>
          <w:szCs w:val="30"/>
        </w:rPr>
        <w:t xml:space="preserve">      欧美等发达国家拥有一整套比较完善的冷链物流评价体系，对冷链物流各环节进行温度立法，如加拿大食品检验局（CFIA)根据国际通行的危害分析和关键控制点制定食品安全督促计划（FSEP)，易腐食品冷链物流冷藏率达到100%。</w:t>
      </w:r>
    </w:p>
    <w:p>
      <w:pPr>
        <w:spacing w:line="360" w:lineRule="auto"/>
        <w:rPr>
          <w:rFonts w:ascii="楷体" w:hAnsi="楷体" w:eastAsia="楷体" w:cs="楷体"/>
          <w:sz w:val="30"/>
          <w:szCs w:val="30"/>
        </w:rPr>
      </w:pPr>
      <w:r>
        <w:rPr>
          <w:rFonts w:hint="eastAsia" w:ascii="楷体" w:hAnsi="楷体" w:eastAsia="楷体" w:cs="楷体"/>
          <w:sz w:val="30"/>
          <w:szCs w:val="30"/>
        </w:rPr>
        <w:t>目前中国尚未有完整的冷链物流服务体系，标准草稿中详细规定了从接收、加工配送、运输、储存、装卸搬运、货物交接、风险控制、包装标识较为完整的服务体系，完善了</w:t>
      </w:r>
      <w:r>
        <w:rPr>
          <w:rFonts w:hint="eastAsia" w:ascii="楷体" w:hAnsi="楷体" w:eastAsia="楷体" w:cs="楷体"/>
          <w:sz w:val="30"/>
          <w:szCs w:val="30"/>
          <w:lang w:eastAsia="zh-CN"/>
        </w:rPr>
        <w:t>肉与肉</w:t>
      </w:r>
      <w:r>
        <w:rPr>
          <w:rFonts w:hint="eastAsia" w:ascii="楷体" w:hAnsi="楷体" w:eastAsia="楷体" w:cs="楷体"/>
          <w:sz w:val="30"/>
          <w:szCs w:val="30"/>
        </w:rPr>
        <w:t>制品产品冷链物流服务体系。</w:t>
      </w:r>
    </w:p>
    <w:p>
      <w:pPr>
        <w:spacing w:line="360" w:lineRule="auto"/>
        <w:rPr>
          <w:rFonts w:ascii="楷体" w:hAnsi="楷体" w:eastAsia="楷体" w:cs="楷体"/>
          <w:sz w:val="30"/>
          <w:szCs w:val="30"/>
        </w:rPr>
      </w:pPr>
      <w:r>
        <w:rPr>
          <w:rFonts w:hint="eastAsia" w:ascii="楷体" w:hAnsi="楷体" w:eastAsia="楷体" w:cs="楷体"/>
          <w:sz w:val="30"/>
          <w:szCs w:val="30"/>
        </w:rPr>
        <w:t>4、与其他标准保持一致的原则</w:t>
      </w:r>
    </w:p>
    <w:p>
      <w:pPr>
        <w:spacing w:line="360" w:lineRule="auto"/>
        <w:ind w:firstLine="480"/>
        <w:rPr>
          <w:rFonts w:ascii="楷体" w:hAnsi="楷体" w:eastAsia="楷体" w:cs="楷体"/>
          <w:sz w:val="30"/>
          <w:szCs w:val="30"/>
        </w:rPr>
      </w:pPr>
      <w:r>
        <w:rPr>
          <w:rFonts w:hint="eastAsia" w:ascii="楷体" w:hAnsi="楷体" w:eastAsia="楷体" w:cs="楷体"/>
          <w:sz w:val="30"/>
          <w:szCs w:val="30"/>
        </w:rPr>
        <w:t xml:space="preserve">   《肉与肉制品冷链温控运作规范》是以现行的GB/T 21735《肉与肉制品物流规范》为基础，根据GB14881《食品生产通用卫生规范》、GB7718《预包装食品标签通则》、GB/T24617、24616《冷藏、冷冻食品物流包装、标识、运输和储存》、GB/T29342《肉制品生产管理规范》等法规要求及行业的物流服务现状，围绕产品在流通加工、包装储存、运输配送等环节的质量要求进行制定，格式上符合GB/1.1-2009的规定。</w:t>
      </w:r>
    </w:p>
    <w:p>
      <w:pPr>
        <w:spacing w:line="360" w:lineRule="auto"/>
        <w:ind w:firstLine="480"/>
        <w:rPr>
          <w:rFonts w:ascii="楷体" w:hAnsi="楷体" w:eastAsia="楷体" w:cs="楷体"/>
          <w:sz w:val="30"/>
          <w:szCs w:val="30"/>
        </w:rPr>
      </w:pPr>
      <w:r>
        <w:rPr>
          <w:rFonts w:hint="eastAsia" w:ascii="楷体" w:hAnsi="楷体" w:eastAsia="楷体" w:cs="楷体"/>
          <w:sz w:val="30"/>
          <w:szCs w:val="30"/>
        </w:rPr>
        <w:t>5、体现肉</w:t>
      </w:r>
      <w:r>
        <w:rPr>
          <w:rFonts w:hint="eastAsia" w:ascii="楷体" w:hAnsi="楷体" w:eastAsia="楷体" w:cs="楷体"/>
          <w:sz w:val="30"/>
          <w:szCs w:val="30"/>
          <w:lang w:val="en-US" w:eastAsia="zh-CN"/>
        </w:rPr>
        <w:t>与</w:t>
      </w:r>
      <w:r>
        <w:rPr>
          <w:rFonts w:hint="eastAsia" w:ascii="楷体" w:hAnsi="楷体" w:eastAsia="楷体" w:cs="楷体"/>
          <w:sz w:val="30"/>
          <w:szCs w:val="30"/>
        </w:rPr>
        <w:t>肉制品产品冷链物流专业的服务能力</w:t>
      </w:r>
    </w:p>
    <w:p>
      <w:pPr>
        <w:spacing w:line="540" w:lineRule="exact"/>
        <w:ind w:firstLine="600" w:firstLineChars="200"/>
        <w:rPr>
          <w:rFonts w:ascii="楷体" w:hAnsi="楷体" w:eastAsia="楷体" w:cs="楷体"/>
          <w:sz w:val="30"/>
          <w:szCs w:val="30"/>
        </w:rPr>
      </w:pPr>
      <w:r>
        <w:rPr>
          <w:rFonts w:hint="eastAsia" w:ascii="楷体" w:hAnsi="楷体" w:eastAsia="楷体" w:cs="楷体"/>
          <w:sz w:val="30"/>
          <w:szCs w:val="30"/>
        </w:rPr>
        <w:t>肉</w:t>
      </w:r>
      <w:r>
        <w:rPr>
          <w:rFonts w:hint="eastAsia" w:ascii="楷体" w:hAnsi="楷体" w:eastAsia="楷体" w:cs="楷体"/>
          <w:sz w:val="30"/>
          <w:szCs w:val="30"/>
          <w:lang w:val="en-US" w:eastAsia="zh-CN"/>
        </w:rPr>
        <w:t>与</w:t>
      </w:r>
      <w:r>
        <w:rPr>
          <w:rFonts w:hint="eastAsia" w:ascii="楷体" w:hAnsi="楷体" w:eastAsia="楷体" w:cs="楷体"/>
          <w:sz w:val="30"/>
          <w:szCs w:val="30"/>
        </w:rPr>
        <w:t>肉制品产品冷链物流除应具备与所经营</w:t>
      </w:r>
      <w:r>
        <w:rPr>
          <w:rFonts w:hint="eastAsia" w:ascii="楷体" w:hAnsi="楷体" w:eastAsia="楷体" w:cs="楷体"/>
          <w:sz w:val="30"/>
          <w:szCs w:val="30"/>
          <w:lang w:eastAsia="zh-CN"/>
        </w:rPr>
        <w:t>肉与肉</w:t>
      </w:r>
      <w:r>
        <w:rPr>
          <w:rFonts w:hint="eastAsia" w:ascii="楷体" w:hAnsi="楷体" w:eastAsia="楷体" w:cs="楷体"/>
          <w:sz w:val="30"/>
          <w:szCs w:val="30"/>
        </w:rPr>
        <w:t>制品产品相适应的设施设备和卫生条件，还应具备提供</w:t>
      </w:r>
      <w:r>
        <w:rPr>
          <w:rFonts w:hint="eastAsia" w:ascii="楷体" w:hAnsi="楷体" w:eastAsia="楷体" w:cs="楷体"/>
          <w:sz w:val="30"/>
          <w:szCs w:val="30"/>
          <w:lang w:eastAsia="zh-CN"/>
        </w:rPr>
        <w:t>肉与肉</w:t>
      </w:r>
      <w:r>
        <w:rPr>
          <w:rFonts w:hint="eastAsia" w:ascii="楷体" w:hAnsi="楷体" w:eastAsia="楷体" w:cs="楷体"/>
          <w:sz w:val="30"/>
          <w:szCs w:val="30"/>
        </w:rPr>
        <w:t>制品产品冷链物流服务的基本条件，实现对</w:t>
      </w:r>
      <w:r>
        <w:rPr>
          <w:rFonts w:hint="eastAsia" w:ascii="楷体" w:hAnsi="楷体" w:eastAsia="楷体" w:cs="楷体"/>
          <w:sz w:val="30"/>
          <w:szCs w:val="30"/>
          <w:lang w:eastAsia="zh-CN"/>
        </w:rPr>
        <w:t>肉与肉</w:t>
      </w:r>
      <w:r>
        <w:rPr>
          <w:rFonts w:hint="eastAsia" w:ascii="楷体" w:hAnsi="楷体" w:eastAsia="楷体" w:cs="楷体"/>
          <w:sz w:val="30"/>
          <w:szCs w:val="30"/>
        </w:rPr>
        <w:t>制品产品储存、配送、运输、装卸、搬运、包装、流通加工等基本功能的组织与管理，重点是货物接收和储藏作业（冷库、冷藏集装箱及厢、柜）这两个容易产生断链环节作业要求，以满足</w:t>
      </w:r>
      <w:r>
        <w:rPr>
          <w:rFonts w:hint="eastAsia" w:ascii="楷体" w:hAnsi="楷体" w:eastAsia="楷体" w:cs="楷体"/>
          <w:sz w:val="30"/>
          <w:szCs w:val="30"/>
          <w:lang w:eastAsia="zh-CN"/>
        </w:rPr>
        <w:t>肉与肉</w:t>
      </w:r>
      <w:r>
        <w:rPr>
          <w:rFonts w:hint="eastAsia" w:ascii="楷体" w:hAnsi="楷体" w:eastAsia="楷体" w:cs="楷体"/>
          <w:sz w:val="30"/>
          <w:szCs w:val="30"/>
        </w:rPr>
        <w:t>制品产品冷链物流服务的需求。</w:t>
      </w:r>
    </w:p>
    <w:p>
      <w:pPr>
        <w:spacing w:line="540" w:lineRule="exact"/>
        <w:rPr>
          <w:rFonts w:ascii="楷体" w:hAnsi="楷体" w:eastAsia="楷体" w:cs="楷体"/>
          <w:sz w:val="30"/>
          <w:szCs w:val="30"/>
        </w:rPr>
      </w:pPr>
      <w:r>
        <w:rPr>
          <w:rFonts w:hint="eastAsia" w:ascii="楷体" w:hAnsi="楷体" w:eastAsia="楷体" w:cs="楷体"/>
          <w:sz w:val="30"/>
          <w:szCs w:val="30"/>
        </w:rPr>
        <w:t xml:space="preserve"> 6、强调</w:t>
      </w:r>
      <w:r>
        <w:rPr>
          <w:rFonts w:hint="eastAsia" w:ascii="楷体" w:hAnsi="楷体" w:eastAsia="楷体" w:cs="楷体"/>
          <w:sz w:val="30"/>
          <w:szCs w:val="30"/>
          <w:lang w:eastAsia="zh-CN"/>
        </w:rPr>
        <w:t>肉与肉</w:t>
      </w:r>
      <w:r>
        <w:rPr>
          <w:rFonts w:hint="eastAsia" w:ascii="楷体" w:hAnsi="楷体" w:eastAsia="楷体" w:cs="楷体"/>
          <w:sz w:val="30"/>
          <w:szCs w:val="30"/>
        </w:rPr>
        <w:t>制品产品冷链物流风险控制</w:t>
      </w:r>
    </w:p>
    <w:p>
      <w:pPr>
        <w:pStyle w:val="12"/>
        <w:numPr>
          <w:ilvl w:val="1"/>
          <w:numId w:val="0"/>
        </w:numPr>
        <w:spacing w:beforeLines="0" w:after="156"/>
        <w:rPr>
          <w:rFonts w:ascii="楷体" w:hAnsi="楷体" w:eastAsia="楷体" w:cs="楷体"/>
          <w:sz w:val="30"/>
          <w:szCs w:val="30"/>
        </w:rPr>
      </w:pPr>
      <w:r>
        <w:rPr>
          <w:rFonts w:hint="eastAsia" w:ascii="楷体" w:hAnsi="楷体" w:eastAsia="楷体" w:cs="楷体"/>
          <w:sz w:val="30"/>
          <w:szCs w:val="30"/>
          <w:lang w:val="en-US" w:eastAsia="zh-CN"/>
        </w:rPr>
        <w:t xml:space="preserve">    </w:t>
      </w:r>
      <w:r>
        <w:rPr>
          <w:rFonts w:hint="eastAsia" w:ascii="楷体" w:hAnsi="楷体" w:eastAsia="楷体" w:cs="楷体"/>
          <w:sz w:val="30"/>
          <w:szCs w:val="30"/>
        </w:rPr>
        <w:t>为了保证</w:t>
      </w:r>
      <w:r>
        <w:rPr>
          <w:rFonts w:hint="eastAsia" w:ascii="楷体" w:hAnsi="楷体" w:eastAsia="楷体" w:cs="楷体"/>
          <w:sz w:val="30"/>
          <w:szCs w:val="30"/>
          <w:lang w:eastAsia="zh-CN"/>
        </w:rPr>
        <w:t>肉与肉</w:t>
      </w:r>
      <w:r>
        <w:rPr>
          <w:rFonts w:hint="eastAsia" w:ascii="楷体" w:hAnsi="楷体" w:eastAsia="楷体" w:cs="楷体"/>
          <w:sz w:val="30"/>
          <w:szCs w:val="30"/>
        </w:rPr>
        <w:t>制品产品质量，</w:t>
      </w:r>
      <w:r>
        <w:rPr>
          <w:rFonts w:hint="eastAsia" w:ascii="楷体" w:hAnsi="楷体" w:eastAsia="楷体" w:cs="楷体"/>
          <w:sz w:val="30"/>
          <w:szCs w:val="30"/>
          <w:lang w:eastAsia="zh-CN"/>
        </w:rPr>
        <w:t>肉与肉</w:t>
      </w:r>
      <w:r>
        <w:rPr>
          <w:rFonts w:hint="eastAsia" w:ascii="楷体" w:hAnsi="楷体" w:eastAsia="楷体" w:cs="楷体"/>
          <w:sz w:val="30"/>
          <w:szCs w:val="30"/>
        </w:rPr>
        <w:t>制品产品的风险控制应贯穿于</w:t>
      </w:r>
      <w:r>
        <w:rPr>
          <w:rFonts w:hint="eastAsia" w:ascii="楷体" w:hAnsi="楷体" w:eastAsia="楷体" w:cs="楷体"/>
          <w:sz w:val="30"/>
          <w:szCs w:val="30"/>
          <w:lang w:eastAsia="zh-CN"/>
        </w:rPr>
        <w:t>肉与肉</w:t>
      </w:r>
      <w:r>
        <w:rPr>
          <w:rFonts w:hint="eastAsia" w:ascii="楷体" w:hAnsi="楷体" w:eastAsia="楷体" w:cs="楷体"/>
          <w:sz w:val="30"/>
          <w:szCs w:val="30"/>
        </w:rPr>
        <w:t>制品产品从生产到销售的全过程，实现风险的识别、控制和规避。本标准要求企业应具有保障</w:t>
      </w:r>
      <w:r>
        <w:rPr>
          <w:rFonts w:hint="eastAsia" w:ascii="楷体" w:hAnsi="楷体" w:eastAsia="楷体" w:cs="楷体"/>
          <w:sz w:val="30"/>
          <w:szCs w:val="30"/>
          <w:lang w:eastAsia="zh-CN"/>
        </w:rPr>
        <w:t>肉与肉</w:t>
      </w:r>
      <w:r>
        <w:rPr>
          <w:rFonts w:hint="eastAsia" w:ascii="楷体" w:hAnsi="楷体" w:eastAsia="楷体" w:cs="楷体"/>
          <w:sz w:val="30"/>
          <w:szCs w:val="30"/>
        </w:rPr>
        <w:t>制品产品储存、配送、运输各环节风险控制的应急预案。企业还应采取存货保险、财产保险、运输保险等有效控制风险的措施。</w:t>
      </w:r>
    </w:p>
    <w:p>
      <w:pPr>
        <w:spacing w:line="360" w:lineRule="auto"/>
        <w:rPr>
          <w:rFonts w:ascii="楷体" w:hAnsi="楷体" w:eastAsia="楷体" w:cs="楷体"/>
          <w:b/>
          <w:bCs/>
          <w:sz w:val="30"/>
          <w:szCs w:val="30"/>
        </w:rPr>
      </w:pPr>
      <w:r>
        <w:rPr>
          <w:rFonts w:hint="eastAsia" w:ascii="楷体" w:hAnsi="楷体" w:eastAsia="楷体" w:cs="楷体"/>
          <w:b/>
          <w:bCs/>
          <w:sz w:val="30"/>
          <w:szCs w:val="30"/>
          <w:lang w:val="en-US" w:eastAsia="zh-CN"/>
        </w:rPr>
        <w:t>五</w:t>
      </w:r>
      <w:r>
        <w:rPr>
          <w:rFonts w:hint="eastAsia" w:ascii="楷体" w:hAnsi="楷体" w:eastAsia="楷体" w:cs="楷体"/>
          <w:b/>
          <w:bCs/>
          <w:sz w:val="30"/>
          <w:szCs w:val="30"/>
        </w:rPr>
        <w:t>、标准的研究、起草过程：</w:t>
      </w:r>
    </w:p>
    <w:p>
      <w:pPr>
        <w:spacing w:line="360" w:lineRule="auto"/>
        <w:ind w:firstLine="630" w:firstLineChars="210"/>
        <w:rPr>
          <w:rFonts w:ascii="楷体" w:hAnsi="楷体" w:eastAsia="楷体" w:cs="楷体"/>
          <w:sz w:val="30"/>
          <w:szCs w:val="30"/>
        </w:rPr>
      </w:pPr>
      <w:r>
        <w:rPr>
          <w:rFonts w:hint="eastAsia" w:ascii="楷体" w:hAnsi="楷体" w:eastAsia="楷体" w:cs="楷体"/>
          <w:sz w:val="30"/>
          <w:szCs w:val="30"/>
        </w:rPr>
        <w:t>根据“2014年物流行业标准项目计划”的通知要求，中国物流与采购联合会冷链物流专业委员会、河南鲜易供应链股份有限公司等单位组成项目组，并成立了</w:t>
      </w:r>
      <w:r>
        <w:rPr>
          <w:rFonts w:hint="eastAsia" w:ascii="楷体" w:hAnsi="楷体" w:eastAsia="楷体" w:cs="楷体"/>
          <w:sz w:val="30"/>
          <w:szCs w:val="30"/>
          <w:lang w:eastAsia="zh-CN"/>
        </w:rPr>
        <w:t>肉与肉</w:t>
      </w:r>
      <w:r>
        <w:rPr>
          <w:rFonts w:hint="eastAsia" w:ascii="楷体" w:hAnsi="楷体" w:eastAsia="楷体" w:cs="楷体"/>
          <w:sz w:val="30"/>
          <w:szCs w:val="30"/>
        </w:rPr>
        <w:t>制品冷链温控运作标准的起草小组。标准起草阶段，实地调研河南、上海昆山、天津、长春、沈阳、广州、湖北武汉等区域，搜集相关法律法规和相关产品的国家标准、行业标准，对冷链物流服务中的运输、装卸、储存、搬运、流通加工、配送等各环节的标准要求、制定依据进行研讨；形成《肉与肉制品冷链温控运作规范》标准草稿。</w:t>
      </w:r>
    </w:p>
    <w:p>
      <w:pPr>
        <w:spacing w:line="360" w:lineRule="auto"/>
        <w:ind w:firstLine="480"/>
        <w:rPr>
          <w:rFonts w:ascii="楷体" w:hAnsi="楷体" w:eastAsia="楷体" w:cs="楷体"/>
          <w:sz w:val="30"/>
          <w:szCs w:val="30"/>
        </w:rPr>
      </w:pPr>
      <w:r>
        <w:rPr>
          <w:rFonts w:hint="eastAsia" w:ascii="楷体" w:hAnsi="楷体" w:eastAsia="楷体" w:cs="楷体"/>
          <w:sz w:val="30"/>
          <w:szCs w:val="30"/>
        </w:rPr>
        <w:t>2014年4月，河南鲜易供应链经过调研和初步与各参与单位沟通，由标准制定部门主导负责起草了《肉与肉制品冷链温控运作规范》初稿，并发给各起草单位进行意见征求。</w:t>
      </w:r>
    </w:p>
    <w:p>
      <w:pPr>
        <w:spacing w:line="360" w:lineRule="auto"/>
        <w:ind w:firstLine="480"/>
        <w:rPr>
          <w:rFonts w:ascii="楷体" w:hAnsi="楷体" w:eastAsia="楷体" w:cs="楷体"/>
          <w:sz w:val="30"/>
          <w:szCs w:val="30"/>
        </w:rPr>
      </w:pPr>
      <w:r>
        <w:rPr>
          <w:rFonts w:hint="eastAsia" w:ascii="楷体" w:hAnsi="楷体" w:eastAsia="楷体" w:cs="楷体"/>
          <w:sz w:val="30"/>
          <w:szCs w:val="30"/>
        </w:rPr>
        <w:t>2014年7月，《肉与肉制品冷链温控运作规范》在征求了各参与单位的意见后，最终形成了《肉与肉制品冷链温控运作规范》草稿，并准备提交《肉与肉制品冷链温控运作规范》标准组讨论。</w:t>
      </w:r>
    </w:p>
    <w:p>
      <w:pPr>
        <w:spacing w:line="360" w:lineRule="auto"/>
        <w:ind w:firstLine="480"/>
        <w:rPr>
          <w:rFonts w:ascii="楷体" w:hAnsi="楷体" w:eastAsia="楷体" w:cs="楷体"/>
          <w:sz w:val="30"/>
          <w:szCs w:val="30"/>
        </w:rPr>
      </w:pPr>
      <w:r>
        <w:rPr>
          <w:rFonts w:hint="eastAsia" w:ascii="楷体" w:hAnsi="楷体" w:eastAsia="楷体" w:cs="楷体"/>
          <w:sz w:val="30"/>
          <w:szCs w:val="30"/>
        </w:rPr>
        <w:t>2015年3月，《肉与肉制品冷链温控运作规范》在武汉召开行业标准启动会，各参与企业对标准草稿进行再次研讨修改。</w:t>
      </w:r>
    </w:p>
    <w:p>
      <w:pPr>
        <w:spacing w:line="360" w:lineRule="auto"/>
        <w:ind w:firstLine="480"/>
        <w:rPr>
          <w:rFonts w:ascii="楷体" w:hAnsi="楷体" w:eastAsia="楷体" w:cs="楷体"/>
          <w:sz w:val="30"/>
          <w:szCs w:val="30"/>
        </w:rPr>
      </w:pPr>
      <w:r>
        <w:rPr>
          <w:rFonts w:hint="eastAsia" w:ascii="楷体" w:hAnsi="楷体" w:eastAsia="楷体" w:cs="楷体"/>
          <w:sz w:val="30"/>
          <w:szCs w:val="30"/>
        </w:rPr>
        <w:t>2015年7月，河南鲜易供应链根据冷链委部署，对标准草稿进行实地调研，分别调研了海吉星、顺鑫农业（鹏程食品分公司）、鼎金物流等冷链企业，充分听取冷链企业对标准的意见及行业的现状，完成第四次修改。</w:t>
      </w:r>
    </w:p>
    <w:p>
      <w:pPr>
        <w:spacing w:line="360" w:lineRule="auto"/>
        <w:ind w:firstLine="480"/>
        <w:rPr>
          <w:rFonts w:ascii="楷体" w:hAnsi="楷体" w:eastAsia="楷体" w:cs="楷体"/>
          <w:color w:val="FF0000"/>
          <w:sz w:val="30"/>
          <w:szCs w:val="30"/>
        </w:rPr>
      </w:pPr>
      <w:r>
        <w:rPr>
          <w:rFonts w:hint="eastAsia" w:ascii="楷体" w:hAnsi="楷体" w:eastAsia="楷体" w:cs="楷体"/>
          <w:sz w:val="30"/>
          <w:szCs w:val="30"/>
        </w:rPr>
        <w:t>2015年10月，《肉与肉制品冷链温控运作规范》标准草稿再次征求各参与单位意见，就标准争议地方达成一致意见，完成第五次修改。</w:t>
      </w:r>
    </w:p>
    <w:p>
      <w:pPr>
        <w:spacing w:line="360" w:lineRule="auto"/>
        <w:rPr>
          <w:rFonts w:ascii="楷体" w:hAnsi="楷体" w:eastAsia="楷体" w:cs="楷体"/>
          <w:b/>
          <w:bCs/>
          <w:sz w:val="30"/>
          <w:szCs w:val="30"/>
        </w:rPr>
      </w:pPr>
      <w:r>
        <w:rPr>
          <w:rFonts w:hint="eastAsia" w:ascii="楷体" w:hAnsi="楷体" w:eastAsia="楷体" w:cs="楷体"/>
          <w:b/>
          <w:bCs/>
          <w:sz w:val="30"/>
          <w:szCs w:val="30"/>
          <w:lang w:val="en-US" w:eastAsia="zh-CN"/>
        </w:rPr>
        <w:t>六</w:t>
      </w:r>
      <w:r>
        <w:rPr>
          <w:rFonts w:hint="eastAsia" w:ascii="楷体" w:hAnsi="楷体" w:eastAsia="楷体" w:cs="楷体"/>
          <w:b/>
          <w:bCs/>
          <w:sz w:val="30"/>
          <w:szCs w:val="30"/>
        </w:rPr>
        <w:t>、标准主要技术指标：</w:t>
      </w:r>
    </w:p>
    <w:p>
      <w:pPr>
        <w:spacing w:line="360" w:lineRule="auto"/>
        <w:ind w:firstLine="480"/>
        <w:rPr>
          <w:rFonts w:ascii="楷体" w:hAnsi="楷体" w:eastAsia="楷体"/>
          <w:sz w:val="30"/>
          <w:szCs w:val="30"/>
        </w:rPr>
      </w:pPr>
      <w:r>
        <w:rPr>
          <w:rFonts w:hint="eastAsia" w:ascii="楷体" w:hAnsi="楷体" w:eastAsia="楷体" w:cs="楷体"/>
          <w:b/>
          <w:bCs/>
          <w:sz w:val="30"/>
          <w:szCs w:val="30"/>
        </w:rPr>
        <w:t>1、标准的主要内容如下</w:t>
      </w:r>
      <w:r>
        <w:rPr>
          <w:rFonts w:hint="eastAsia" w:ascii="楷体" w:hAnsi="楷体" w:eastAsia="楷体" w:cs="楷体"/>
          <w:sz w:val="30"/>
          <w:szCs w:val="30"/>
        </w:rPr>
        <w:t>：</w:t>
      </w:r>
    </w:p>
    <w:p>
      <w:pPr>
        <w:spacing w:line="360" w:lineRule="auto"/>
        <w:rPr>
          <w:rFonts w:ascii="楷体" w:hAnsi="楷体" w:eastAsia="楷体"/>
          <w:sz w:val="30"/>
          <w:szCs w:val="30"/>
        </w:rPr>
      </w:pPr>
      <w:r>
        <w:rPr>
          <w:rFonts w:hint="eastAsia" w:ascii="楷体" w:hAnsi="楷体" w:eastAsia="楷体" w:cs="楷体"/>
          <w:sz w:val="30"/>
          <w:szCs w:val="30"/>
        </w:rPr>
        <w:t>（</w:t>
      </w:r>
      <w:r>
        <w:rPr>
          <w:rFonts w:ascii="楷体" w:hAnsi="楷体" w:eastAsia="楷体" w:cs="楷体"/>
          <w:sz w:val="30"/>
          <w:szCs w:val="30"/>
        </w:rPr>
        <w:t>1</w:t>
      </w:r>
      <w:r>
        <w:rPr>
          <w:rFonts w:hint="eastAsia" w:ascii="楷体" w:hAnsi="楷体" w:eastAsia="楷体" w:cs="楷体"/>
          <w:sz w:val="30"/>
          <w:szCs w:val="30"/>
        </w:rPr>
        <w:t>）封面</w:t>
      </w:r>
    </w:p>
    <w:p>
      <w:pPr>
        <w:spacing w:line="360" w:lineRule="auto"/>
        <w:rPr>
          <w:rFonts w:ascii="楷体" w:hAnsi="楷体" w:eastAsia="楷体"/>
          <w:sz w:val="30"/>
          <w:szCs w:val="30"/>
        </w:rPr>
      </w:pPr>
      <w:r>
        <w:rPr>
          <w:rFonts w:hint="eastAsia" w:ascii="楷体" w:hAnsi="楷体" w:eastAsia="楷体" w:cs="楷体"/>
          <w:sz w:val="30"/>
          <w:szCs w:val="30"/>
        </w:rPr>
        <w:t>（</w:t>
      </w:r>
      <w:r>
        <w:rPr>
          <w:rFonts w:ascii="楷体" w:hAnsi="楷体" w:eastAsia="楷体" w:cs="楷体"/>
          <w:sz w:val="30"/>
          <w:szCs w:val="30"/>
        </w:rPr>
        <w:t>2</w:t>
      </w:r>
      <w:r>
        <w:rPr>
          <w:rFonts w:hint="eastAsia" w:ascii="楷体" w:hAnsi="楷体" w:eastAsia="楷体" w:cs="楷体"/>
          <w:sz w:val="30"/>
          <w:szCs w:val="30"/>
        </w:rPr>
        <w:t>）目次</w:t>
      </w:r>
    </w:p>
    <w:p>
      <w:pPr>
        <w:spacing w:line="360" w:lineRule="auto"/>
        <w:rPr>
          <w:rFonts w:ascii="楷体" w:hAnsi="楷体" w:eastAsia="楷体"/>
          <w:sz w:val="30"/>
          <w:szCs w:val="30"/>
        </w:rPr>
      </w:pPr>
      <w:r>
        <w:rPr>
          <w:rFonts w:hint="eastAsia" w:ascii="楷体" w:hAnsi="楷体" w:eastAsia="楷体" w:cs="楷体"/>
          <w:sz w:val="30"/>
          <w:szCs w:val="30"/>
        </w:rPr>
        <w:t>（</w:t>
      </w:r>
      <w:r>
        <w:rPr>
          <w:rFonts w:ascii="楷体" w:hAnsi="楷体" w:eastAsia="楷体" w:cs="楷体"/>
          <w:sz w:val="30"/>
          <w:szCs w:val="30"/>
        </w:rPr>
        <w:t>3</w:t>
      </w:r>
      <w:r>
        <w:rPr>
          <w:rFonts w:hint="eastAsia" w:ascii="楷体" w:hAnsi="楷体" w:eastAsia="楷体" w:cs="楷体"/>
          <w:sz w:val="30"/>
          <w:szCs w:val="30"/>
        </w:rPr>
        <w:t>）前言</w:t>
      </w:r>
    </w:p>
    <w:p>
      <w:pPr>
        <w:spacing w:line="360" w:lineRule="auto"/>
        <w:rPr>
          <w:rFonts w:ascii="楷体" w:hAnsi="楷体" w:eastAsia="楷体" w:cs="楷体"/>
          <w:sz w:val="30"/>
          <w:szCs w:val="30"/>
        </w:rPr>
      </w:pPr>
      <w:r>
        <w:rPr>
          <w:rFonts w:hint="eastAsia" w:ascii="楷体" w:hAnsi="楷体" w:eastAsia="楷体" w:cs="楷体"/>
          <w:sz w:val="30"/>
          <w:szCs w:val="30"/>
        </w:rPr>
        <w:t>（</w:t>
      </w:r>
      <w:r>
        <w:rPr>
          <w:rFonts w:ascii="楷体" w:hAnsi="楷体" w:eastAsia="楷体" w:cs="楷体"/>
          <w:sz w:val="30"/>
          <w:szCs w:val="30"/>
        </w:rPr>
        <w:t>4</w:t>
      </w:r>
      <w:r>
        <w:rPr>
          <w:rFonts w:hint="eastAsia" w:ascii="楷体" w:hAnsi="楷体" w:eastAsia="楷体" w:cs="楷体"/>
          <w:sz w:val="30"/>
          <w:szCs w:val="30"/>
        </w:rPr>
        <w:t>）标准主要内容：范围、规范性引用文件、术语及定义、基本原则、基本要求、冷链流程、包装与标志、风险控制；</w:t>
      </w:r>
    </w:p>
    <w:p>
      <w:pPr>
        <w:spacing w:line="360" w:lineRule="auto"/>
        <w:rPr>
          <w:rFonts w:ascii="楷体" w:hAnsi="楷体" w:eastAsia="楷体" w:cs="楷体"/>
          <w:sz w:val="30"/>
          <w:szCs w:val="30"/>
        </w:rPr>
      </w:pPr>
      <w:r>
        <w:rPr>
          <w:rFonts w:hint="eastAsia" w:ascii="楷体" w:hAnsi="楷体" w:eastAsia="楷体" w:cs="楷体"/>
          <w:b/>
          <w:bCs/>
          <w:sz w:val="30"/>
          <w:szCs w:val="30"/>
        </w:rPr>
        <w:t>2、主要内容说明</w:t>
      </w:r>
      <w:r>
        <w:rPr>
          <w:rFonts w:hint="eastAsia" w:ascii="楷体" w:hAnsi="楷体" w:eastAsia="楷体" w:cs="楷体"/>
          <w:sz w:val="30"/>
          <w:szCs w:val="30"/>
        </w:rPr>
        <w:t>：</w:t>
      </w:r>
    </w:p>
    <w:p>
      <w:pPr>
        <w:spacing w:line="360" w:lineRule="auto"/>
        <w:rPr>
          <w:rFonts w:ascii="楷体" w:hAnsi="楷体" w:eastAsia="楷体" w:cs="楷体"/>
          <w:sz w:val="30"/>
          <w:szCs w:val="30"/>
        </w:rPr>
      </w:pPr>
      <w:r>
        <w:rPr>
          <w:rFonts w:hint="eastAsia" w:ascii="楷体" w:hAnsi="楷体" w:eastAsia="楷体" w:cs="楷体"/>
          <w:sz w:val="30"/>
          <w:szCs w:val="30"/>
        </w:rPr>
        <w:t xml:space="preserve">       标准制定内容上符合国家法律法规、强制性国家标准的要求，主要参考了如下标准：</w:t>
      </w:r>
    </w:p>
    <w:p>
      <w:pPr>
        <w:spacing w:line="360" w:lineRule="auto"/>
        <w:rPr>
          <w:rFonts w:ascii="楷体" w:hAnsi="楷体" w:eastAsia="楷体" w:cs="楷体"/>
          <w:sz w:val="30"/>
          <w:szCs w:val="30"/>
        </w:rPr>
      </w:pPr>
      <w:r>
        <w:rPr>
          <w:rFonts w:hint="eastAsia" w:ascii="楷体" w:hAnsi="楷体" w:eastAsia="楷体" w:cs="楷体"/>
          <w:sz w:val="30"/>
          <w:szCs w:val="30"/>
        </w:rPr>
        <w:t xml:space="preserve">  （1）范围：本标准规定了</w:t>
      </w:r>
      <w:r>
        <w:rPr>
          <w:rFonts w:hint="eastAsia" w:ascii="楷体" w:hAnsi="楷体" w:eastAsia="楷体" w:cs="楷体"/>
          <w:sz w:val="30"/>
          <w:szCs w:val="30"/>
          <w:lang w:eastAsia="zh-CN"/>
        </w:rPr>
        <w:t>肉与肉</w:t>
      </w:r>
      <w:r>
        <w:rPr>
          <w:rFonts w:hint="eastAsia" w:ascii="楷体" w:hAnsi="楷体" w:eastAsia="楷体" w:cs="楷体"/>
          <w:sz w:val="30"/>
          <w:szCs w:val="30"/>
        </w:rPr>
        <w:t>制品冷链物流服务的术语和定义、基本要求、冷链流程、风险控制、包装及标志，本标准适用</w:t>
      </w:r>
      <w:r>
        <w:rPr>
          <w:rFonts w:hint="eastAsia" w:ascii="楷体" w:hAnsi="楷体" w:eastAsia="楷体" w:cs="楷体"/>
          <w:sz w:val="30"/>
          <w:szCs w:val="30"/>
          <w:lang w:eastAsia="zh-CN"/>
        </w:rPr>
        <w:t>肉与肉</w:t>
      </w:r>
      <w:r>
        <w:rPr>
          <w:rFonts w:hint="eastAsia" w:ascii="楷体" w:hAnsi="楷体" w:eastAsia="楷体" w:cs="楷体"/>
          <w:sz w:val="30"/>
          <w:szCs w:val="30"/>
        </w:rPr>
        <w:t>制品流通过程中的冷链物流服务。</w:t>
      </w:r>
      <w:r>
        <w:rPr>
          <w:rFonts w:hint="eastAsia" w:ascii="楷体" w:hAnsi="楷体" w:eastAsia="楷体" w:cs="楷体"/>
          <w:sz w:val="30"/>
          <w:szCs w:val="30"/>
          <w:lang w:eastAsia="zh-CN"/>
        </w:rPr>
        <w:t>肉与肉</w:t>
      </w:r>
      <w:r>
        <w:rPr>
          <w:rFonts w:hint="eastAsia" w:ascii="楷体" w:hAnsi="楷体" w:eastAsia="楷体" w:cs="楷体"/>
          <w:sz w:val="30"/>
          <w:szCs w:val="30"/>
        </w:rPr>
        <w:t>制品产品生产过程中涉及服务标准可参照该标准执行。</w:t>
      </w:r>
    </w:p>
    <w:p>
      <w:pPr>
        <w:spacing w:line="360" w:lineRule="auto"/>
        <w:rPr>
          <w:rFonts w:ascii="楷体" w:hAnsi="楷体" w:eastAsia="楷体" w:cs="楷体"/>
          <w:sz w:val="30"/>
          <w:szCs w:val="30"/>
        </w:rPr>
      </w:pPr>
      <w:r>
        <w:rPr>
          <w:rFonts w:hint="eastAsia" w:ascii="楷体" w:hAnsi="楷体" w:eastAsia="楷体" w:cs="楷体"/>
          <w:sz w:val="30"/>
          <w:szCs w:val="30"/>
        </w:rPr>
        <w:t xml:space="preserve">  （2）规范性引用文件：</w:t>
      </w:r>
    </w:p>
    <w:p>
      <w:pPr>
        <w:spacing w:line="360" w:lineRule="auto"/>
        <w:ind w:firstLine="480"/>
        <w:rPr>
          <w:rFonts w:ascii="楷体" w:hAnsi="楷体" w:eastAsia="楷体" w:cs="楷体"/>
          <w:sz w:val="30"/>
          <w:szCs w:val="30"/>
        </w:rPr>
      </w:pPr>
      <w:r>
        <w:rPr>
          <w:rFonts w:hint="eastAsia" w:ascii="楷体" w:hAnsi="楷体" w:eastAsia="楷体" w:cs="楷体"/>
          <w:sz w:val="30"/>
          <w:szCs w:val="30"/>
        </w:rPr>
        <w:t>6.2.2</w:t>
      </w:r>
      <w:r>
        <w:rPr>
          <w:rFonts w:hint="eastAsia" w:ascii="楷体" w:hAnsi="楷体" w:eastAsia="楷体" w:cs="楷体"/>
          <w:sz w:val="30"/>
          <w:szCs w:val="30"/>
          <w:lang w:eastAsia="zh-CN"/>
        </w:rPr>
        <w:t>肉与肉</w:t>
      </w:r>
      <w:r>
        <w:rPr>
          <w:rFonts w:hint="eastAsia" w:ascii="楷体" w:hAnsi="楷体" w:eastAsia="楷体" w:cs="楷体"/>
          <w:sz w:val="30"/>
          <w:szCs w:val="30"/>
        </w:rPr>
        <w:t>制品制品加工和操作规范符合GB/T 29342 《肉制品生产管理规范》</w:t>
      </w:r>
    </w:p>
    <w:p>
      <w:pPr>
        <w:spacing w:line="360" w:lineRule="auto"/>
        <w:ind w:firstLine="480"/>
        <w:rPr>
          <w:rFonts w:ascii="楷体" w:hAnsi="楷体" w:eastAsia="楷体" w:cs="楷体"/>
          <w:sz w:val="30"/>
          <w:szCs w:val="30"/>
        </w:rPr>
      </w:pPr>
      <w:r>
        <w:rPr>
          <w:rFonts w:hint="eastAsia" w:ascii="楷体" w:hAnsi="楷体" w:eastAsia="楷体" w:cs="楷体"/>
          <w:sz w:val="30"/>
          <w:szCs w:val="30"/>
        </w:rPr>
        <w:t>6.2.3</w:t>
      </w:r>
      <w:r>
        <w:rPr>
          <w:rFonts w:hint="eastAsia" w:ascii="楷体" w:hAnsi="楷体" w:eastAsia="楷体" w:cs="楷体"/>
          <w:sz w:val="30"/>
          <w:szCs w:val="30"/>
          <w:lang w:eastAsia="zh-CN"/>
        </w:rPr>
        <w:t>肉与肉</w:t>
      </w:r>
      <w:r>
        <w:rPr>
          <w:rFonts w:hint="eastAsia" w:ascii="楷体" w:hAnsi="楷体" w:eastAsia="楷体" w:cs="楷体"/>
          <w:sz w:val="30"/>
          <w:szCs w:val="30"/>
        </w:rPr>
        <w:t>制品产品加工场地、流通加工、设备设施符合GB 14881《食品生产卫生通用规范》</w:t>
      </w:r>
    </w:p>
    <w:p>
      <w:pPr>
        <w:spacing w:line="360" w:lineRule="auto"/>
        <w:ind w:firstLine="465"/>
        <w:rPr>
          <w:rFonts w:ascii="楷体" w:hAnsi="楷体" w:eastAsia="楷体" w:cs="楷体"/>
          <w:sz w:val="30"/>
          <w:szCs w:val="30"/>
        </w:rPr>
      </w:pPr>
      <w:r>
        <w:rPr>
          <w:rFonts w:hint="eastAsia" w:ascii="楷体" w:hAnsi="楷体" w:eastAsia="楷体" w:cs="楷体"/>
          <w:sz w:val="30"/>
          <w:szCs w:val="30"/>
        </w:rPr>
        <w:t>6.3.7冷藏、冷冻肉与肉制品储存作业应分别符合GB/T 24616、GB/T 24617《冷藏食品物流包装、标志、运输、储存》、《冷冻食品物流包装、标志、运输、储存》的规定</w:t>
      </w:r>
    </w:p>
    <w:p>
      <w:pPr>
        <w:spacing w:line="360" w:lineRule="auto"/>
        <w:ind w:firstLine="465"/>
        <w:rPr>
          <w:rFonts w:ascii="楷体" w:hAnsi="楷体" w:eastAsia="楷体" w:cs="楷体"/>
          <w:sz w:val="30"/>
          <w:szCs w:val="30"/>
        </w:rPr>
      </w:pPr>
      <w:r>
        <w:rPr>
          <w:rFonts w:hint="eastAsia" w:ascii="楷体" w:hAnsi="楷体" w:eastAsia="楷体" w:cs="楷体"/>
          <w:sz w:val="30"/>
          <w:szCs w:val="30"/>
        </w:rPr>
        <w:t>6.4产品储藏符合GB/T 21735、GB/T28843《肉与肉制品物流规范》、《食品冷链追溯管理要求》</w:t>
      </w:r>
    </w:p>
    <w:p>
      <w:pPr>
        <w:spacing w:line="360" w:lineRule="auto"/>
        <w:ind w:firstLine="465"/>
        <w:rPr>
          <w:rFonts w:ascii="楷体" w:hAnsi="楷体" w:eastAsia="楷体" w:cs="楷体"/>
          <w:sz w:val="30"/>
          <w:szCs w:val="30"/>
        </w:rPr>
      </w:pPr>
      <w:r>
        <w:rPr>
          <w:rFonts w:hint="eastAsia" w:ascii="楷体" w:hAnsi="楷体" w:eastAsia="楷体" w:cs="楷体"/>
          <w:sz w:val="30"/>
          <w:szCs w:val="30"/>
        </w:rPr>
        <w:t>6.4.7冷库温度测定符合</w:t>
      </w:r>
      <w:r>
        <w:rPr>
          <w:rFonts w:ascii="楷体" w:hAnsi="楷体" w:eastAsia="楷体" w:cs="楷体"/>
          <w:sz w:val="30"/>
          <w:szCs w:val="30"/>
        </w:rPr>
        <w:t>GB/T 9829</w:t>
      </w:r>
      <w:r>
        <w:rPr>
          <w:rFonts w:hint="eastAsia" w:ascii="楷体" w:hAnsi="楷体" w:eastAsia="楷体" w:cs="楷体"/>
          <w:sz w:val="30"/>
          <w:szCs w:val="30"/>
        </w:rPr>
        <w:t>的测定方法</w:t>
      </w:r>
    </w:p>
    <w:p>
      <w:pPr>
        <w:spacing w:line="360" w:lineRule="auto"/>
        <w:ind w:firstLine="465"/>
        <w:rPr>
          <w:rFonts w:ascii="楷体" w:hAnsi="楷体" w:eastAsia="楷体" w:cs="楷体"/>
          <w:sz w:val="30"/>
          <w:szCs w:val="30"/>
        </w:rPr>
      </w:pPr>
      <w:r>
        <w:rPr>
          <w:rFonts w:hint="eastAsia" w:ascii="楷体" w:hAnsi="楷体" w:eastAsia="楷体" w:cs="楷体"/>
          <w:sz w:val="30"/>
          <w:szCs w:val="30"/>
        </w:rPr>
        <w:t>7.1、7.2冷藏、冷冻类</w:t>
      </w:r>
      <w:r>
        <w:rPr>
          <w:rFonts w:hint="eastAsia" w:ascii="楷体" w:hAnsi="楷体" w:eastAsia="楷体" w:cs="楷体"/>
          <w:sz w:val="30"/>
          <w:szCs w:val="30"/>
          <w:lang w:eastAsia="zh-CN"/>
        </w:rPr>
        <w:t>肉与肉</w:t>
      </w:r>
      <w:r>
        <w:rPr>
          <w:rFonts w:hint="eastAsia" w:ascii="楷体" w:hAnsi="楷体" w:eastAsia="楷体" w:cs="楷体"/>
          <w:sz w:val="30"/>
          <w:szCs w:val="30"/>
        </w:rPr>
        <w:t>制品产品符合GB/T 24616、GB/T 24617《冷冻、冷藏食品物流包装、标识、运输、储存》</w:t>
      </w:r>
    </w:p>
    <w:p>
      <w:pPr>
        <w:numPr>
          <w:ilvl w:val="0"/>
          <w:numId w:val="5"/>
        </w:numPr>
        <w:spacing w:line="360" w:lineRule="auto"/>
        <w:ind w:firstLine="465"/>
        <w:rPr>
          <w:rFonts w:ascii="楷体" w:hAnsi="楷体" w:eastAsia="楷体" w:cs="楷体"/>
          <w:sz w:val="30"/>
          <w:szCs w:val="30"/>
        </w:rPr>
      </w:pPr>
      <w:r>
        <w:rPr>
          <w:rFonts w:hint="eastAsia" w:ascii="楷体" w:hAnsi="楷体" w:eastAsia="楷体" w:cs="楷体"/>
          <w:sz w:val="30"/>
          <w:szCs w:val="30"/>
        </w:rPr>
        <w:t>术语：对本标准中引用的术语进行明确， 对“</w:t>
      </w:r>
      <w:r>
        <w:rPr>
          <w:rFonts w:hint="eastAsia" w:ascii="楷体" w:hAnsi="楷体" w:eastAsia="楷体" w:cs="楷体"/>
          <w:sz w:val="30"/>
          <w:szCs w:val="30"/>
          <w:lang w:eastAsia="zh-CN"/>
        </w:rPr>
        <w:t>肉与肉</w:t>
      </w:r>
      <w:r>
        <w:rPr>
          <w:rFonts w:hint="eastAsia" w:ascii="楷体" w:hAnsi="楷体" w:eastAsia="楷体" w:cs="楷体"/>
          <w:sz w:val="30"/>
          <w:szCs w:val="30"/>
        </w:rPr>
        <w:t>制品冷链温控”术语进行定义，参照GB/T 18354-2006《物流术语》中2.2 （物品从供应地向接收地的实体流动过程。根据实际需要，将运输、储存、装卸、搬运、包装、流通加工、配送、信息处理等基本功能实施有机结合）</w:t>
      </w:r>
    </w:p>
    <w:p>
      <w:pPr>
        <w:numPr>
          <w:ilvl w:val="0"/>
          <w:numId w:val="5"/>
        </w:numPr>
        <w:spacing w:line="360" w:lineRule="auto"/>
        <w:ind w:firstLine="465"/>
        <w:rPr>
          <w:rFonts w:ascii="楷体" w:hAnsi="楷体" w:eastAsia="楷体" w:cs="楷体"/>
          <w:sz w:val="30"/>
          <w:szCs w:val="30"/>
        </w:rPr>
      </w:pPr>
      <w:r>
        <w:rPr>
          <w:rFonts w:hint="eastAsia" w:ascii="楷体" w:hAnsi="楷体" w:eastAsia="楷体" w:cs="楷体"/>
          <w:sz w:val="30"/>
          <w:szCs w:val="30"/>
        </w:rPr>
        <w:t>基本原则：基本原则要以客户为中心，保证冷链不断链，保障产品的安全性、配送的时效性及客户合同规定。</w:t>
      </w:r>
    </w:p>
    <w:p>
      <w:pPr>
        <w:numPr>
          <w:ilvl w:val="0"/>
          <w:numId w:val="5"/>
        </w:numPr>
        <w:spacing w:line="360" w:lineRule="auto"/>
        <w:ind w:firstLine="465"/>
        <w:rPr>
          <w:rFonts w:ascii="楷体" w:hAnsi="楷体" w:eastAsia="楷体" w:cs="楷体"/>
          <w:sz w:val="30"/>
          <w:szCs w:val="30"/>
        </w:rPr>
      </w:pPr>
      <w:r>
        <w:rPr>
          <w:rFonts w:hint="eastAsia" w:ascii="楷体" w:hAnsi="楷体" w:eastAsia="楷体" w:cs="楷体"/>
          <w:sz w:val="30"/>
          <w:szCs w:val="30"/>
        </w:rPr>
        <w:t>基本要求:主要从组织保证、人员要求、设施设备管理、冷库及运输车辆，不同状态的</w:t>
      </w:r>
      <w:r>
        <w:rPr>
          <w:rFonts w:hint="eastAsia" w:ascii="楷体" w:hAnsi="楷体" w:eastAsia="楷体" w:cs="楷体"/>
          <w:sz w:val="30"/>
          <w:szCs w:val="30"/>
          <w:lang w:eastAsia="zh-CN"/>
        </w:rPr>
        <w:t>肉与肉</w:t>
      </w:r>
      <w:r>
        <w:rPr>
          <w:rFonts w:hint="eastAsia" w:ascii="楷体" w:hAnsi="楷体" w:eastAsia="楷体" w:cs="楷体"/>
          <w:sz w:val="30"/>
          <w:szCs w:val="30"/>
        </w:rPr>
        <w:t>制品产品的运输温度和时间要求、信息服务过程中单据审核、信息传输及管理，信息追溯等。</w:t>
      </w:r>
    </w:p>
    <w:p>
      <w:pPr>
        <w:numPr>
          <w:ilvl w:val="0"/>
          <w:numId w:val="5"/>
        </w:numPr>
        <w:spacing w:line="360" w:lineRule="auto"/>
        <w:ind w:firstLine="465"/>
        <w:rPr>
          <w:rFonts w:ascii="楷体" w:hAnsi="楷体" w:eastAsia="楷体" w:cs="楷体"/>
          <w:sz w:val="30"/>
          <w:szCs w:val="30"/>
        </w:rPr>
      </w:pPr>
      <w:r>
        <w:rPr>
          <w:rFonts w:hint="eastAsia" w:ascii="楷体" w:hAnsi="楷体" w:eastAsia="楷体" w:cs="楷体"/>
          <w:sz w:val="30"/>
          <w:szCs w:val="30"/>
        </w:rPr>
        <w:t>冷链流程：主要包括以下几点：</w:t>
      </w:r>
    </w:p>
    <w:p>
      <w:pPr>
        <w:spacing w:line="360" w:lineRule="auto"/>
        <w:ind w:firstLine="573" w:firstLineChars="191"/>
        <w:rPr>
          <w:rFonts w:ascii="楷体" w:hAnsi="楷体" w:eastAsia="楷体" w:cs="楷体"/>
          <w:sz w:val="30"/>
          <w:szCs w:val="30"/>
        </w:rPr>
      </w:pPr>
      <w:r>
        <w:rPr>
          <w:rFonts w:hint="eastAsia" w:ascii="楷体" w:hAnsi="楷体" w:eastAsia="楷体" w:cs="楷体"/>
          <w:sz w:val="30"/>
          <w:szCs w:val="30"/>
        </w:rPr>
        <w:t>6.2生产加工:规定加工环境温度、加工操作规范要符合GB/T29342要求，加工场地、设备设施和卫生管理要符合GB14881的规定，冷藏品中心温度0-7℃，暂存温度0-4℃，冷冻品中心温度-18℃以下，暂存温度-18±2℃；</w:t>
      </w:r>
    </w:p>
    <w:p>
      <w:pPr>
        <w:spacing w:line="360" w:lineRule="auto"/>
        <w:ind w:firstLine="450" w:firstLineChars="150"/>
        <w:rPr>
          <w:rFonts w:ascii="楷体" w:hAnsi="楷体" w:eastAsia="楷体" w:cs="楷体"/>
          <w:sz w:val="30"/>
          <w:szCs w:val="30"/>
        </w:rPr>
      </w:pPr>
      <w:r>
        <w:rPr>
          <w:rFonts w:hint="eastAsia" w:ascii="楷体" w:hAnsi="楷体" w:eastAsia="楷体" w:cs="楷体"/>
          <w:sz w:val="30"/>
          <w:szCs w:val="30"/>
        </w:rPr>
        <w:t>6.3运输：装载前对车辆厢体温度进行预冷，冷藏品厢体温度降至7℃以下，冷冻品厢体温度降至7℃；</w:t>
      </w:r>
    </w:p>
    <w:p>
      <w:pPr>
        <w:spacing w:line="360" w:lineRule="auto"/>
        <w:rPr>
          <w:rFonts w:ascii="楷体" w:hAnsi="楷体" w:eastAsia="楷体" w:cs="楷体"/>
          <w:sz w:val="30"/>
          <w:szCs w:val="30"/>
        </w:rPr>
      </w:pPr>
      <w:r>
        <w:rPr>
          <w:rFonts w:hint="eastAsia" w:ascii="楷体" w:hAnsi="楷体" w:eastAsia="楷体" w:cs="楷体"/>
          <w:sz w:val="30"/>
          <w:szCs w:val="30"/>
        </w:rPr>
        <w:t>冷藏肉品在运输过程中厢体内温度应保持0℃~4℃，产品中心温度应保持在0℃-7℃；冻藏肉品在运输过程中厢体内温度保持-18℃以下，最高允许升温到-15度。产品中心温度保持-15℃或更低的温度。</w:t>
      </w:r>
    </w:p>
    <w:p>
      <w:pPr>
        <w:spacing w:line="360" w:lineRule="auto"/>
        <w:ind w:firstLine="300" w:firstLineChars="100"/>
        <w:rPr>
          <w:rFonts w:ascii="楷体" w:hAnsi="楷体" w:eastAsia="楷体" w:cs="楷体"/>
          <w:sz w:val="30"/>
          <w:szCs w:val="30"/>
        </w:rPr>
      </w:pPr>
      <w:r>
        <w:rPr>
          <w:rFonts w:hint="eastAsia" w:ascii="楷体" w:hAnsi="楷体" w:eastAsia="楷体" w:cs="楷体"/>
          <w:sz w:val="30"/>
          <w:szCs w:val="30"/>
        </w:rPr>
        <w:t>6.4仓储：堆垛码放要求：垫板应与地面距离＞10cm, 应与库墙距离＞30cm，离排管＞30cm，离风道＞30cm，距离库体顶板＞20cm，堆放高度以纸箱受压不变形为宜。散装货物堆放高度不宜高于冷风机下端部位；仓库温度要求：冷藏库温度波动幅度不应超过±1℃；在冷却肉出入库时，库房温度升高不应超过3℃。湿度应满足</w:t>
      </w:r>
      <w:r>
        <w:rPr>
          <w:rFonts w:hint="eastAsia" w:ascii="楷体" w:hAnsi="楷体" w:eastAsia="楷体" w:cs="楷体"/>
          <w:sz w:val="30"/>
          <w:szCs w:val="30"/>
          <w:lang w:eastAsia="zh-CN"/>
        </w:rPr>
        <w:t>肉与肉</w:t>
      </w:r>
      <w:r>
        <w:rPr>
          <w:rFonts w:hint="eastAsia" w:ascii="楷体" w:hAnsi="楷体" w:eastAsia="楷体" w:cs="楷体"/>
          <w:sz w:val="30"/>
          <w:szCs w:val="30"/>
        </w:rPr>
        <w:t>制品产品贮存要求；</w:t>
      </w:r>
    </w:p>
    <w:p>
      <w:pPr>
        <w:spacing w:line="360" w:lineRule="auto"/>
        <w:rPr>
          <w:rFonts w:ascii="楷体" w:hAnsi="楷体" w:eastAsia="楷体" w:cs="楷体"/>
          <w:sz w:val="30"/>
          <w:szCs w:val="30"/>
        </w:rPr>
      </w:pPr>
      <w:r>
        <w:rPr>
          <w:rFonts w:hint="eastAsia" w:ascii="楷体" w:hAnsi="楷体" w:eastAsia="楷体" w:cs="楷体"/>
          <w:sz w:val="30"/>
          <w:szCs w:val="30"/>
        </w:rPr>
        <w:t>冷库温湿度记录间隔时间应不超过2h/次，冷库温度偏离设定范围4h内，应采取纠正行动；</w:t>
      </w:r>
    </w:p>
    <w:p>
      <w:pPr>
        <w:spacing w:line="360" w:lineRule="auto"/>
        <w:ind w:firstLine="567" w:firstLineChars="189"/>
        <w:rPr>
          <w:rFonts w:ascii="楷体" w:hAnsi="楷体" w:eastAsia="楷体" w:cs="楷体"/>
          <w:sz w:val="30"/>
          <w:szCs w:val="30"/>
        </w:rPr>
      </w:pPr>
      <w:r>
        <w:rPr>
          <w:rFonts w:hint="eastAsia" w:ascii="楷体" w:hAnsi="楷体" w:eastAsia="楷体" w:cs="楷体"/>
          <w:sz w:val="30"/>
          <w:szCs w:val="30"/>
        </w:rPr>
        <w:t>6.5配送：冷藏品的出货暂存区的温度要求在5℃-10℃,暂存时间不得超过1h，冷冻品出货暂存区的温度要求在5℃-10℃,在暂存区的存放时间不得超过1h；</w:t>
      </w:r>
    </w:p>
    <w:p>
      <w:pPr>
        <w:spacing w:line="360" w:lineRule="auto"/>
        <w:ind w:firstLine="567" w:firstLineChars="189"/>
        <w:rPr>
          <w:rFonts w:ascii="楷体" w:hAnsi="楷体" w:eastAsia="楷体" w:cs="楷体"/>
          <w:sz w:val="30"/>
          <w:szCs w:val="30"/>
        </w:rPr>
      </w:pPr>
      <w:r>
        <w:rPr>
          <w:rFonts w:hint="eastAsia" w:ascii="楷体" w:hAnsi="楷体" w:eastAsia="楷体" w:cs="楷体"/>
          <w:sz w:val="30"/>
          <w:szCs w:val="30"/>
        </w:rPr>
        <w:t>装载时，，肉与肉制品出库和装车、卸车的速度应尽快，使用的方法应以产品温度上升不超过3℃为宜，不应损坏其外包装；</w:t>
      </w:r>
    </w:p>
    <w:p>
      <w:pPr>
        <w:spacing w:line="360" w:lineRule="auto"/>
        <w:ind w:left="424" w:leftChars="202" w:firstLine="39" w:firstLineChars="13"/>
        <w:rPr>
          <w:rFonts w:ascii="楷体" w:hAnsi="楷体" w:eastAsia="楷体" w:cs="楷体"/>
          <w:sz w:val="30"/>
          <w:szCs w:val="30"/>
        </w:rPr>
      </w:pPr>
      <w:r>
        <w:rPr>
          <w:rFonts w:hint="eastAsia" w:ascii="楷体" w:hAnsi="楷体" w:eastAsia="楷体" w:cs="楷体"/>
          <w:sz w:val="30"/>
          <w:szCs w:val="30"/>
        </w:rPr>
        <w:t>6.6销售和召回：</w:t>
      </w:r>
    </w:p>
    <w:p>
      <w:pPr>
        <w:spacing w:line="360" w:lineRule="auto"/>
        <w:ind w:left="141" w:leftChars="67" w:firstLine="900" w:firstLineChars="300"/>
        <w:rPr>
          <w:rFonts w:ascii="楷体" w:hAnsi="楷体" w:eastAsia="楷体" w:cs="楷体"/>
          <w:sz w:val="30"/>
          <w:szCs w:val="30"/>
        </w:rPr>
      </w:pPr>
      <w:r>
        <w:rPr>
          <w:rFonts w:hint="eastAsia" w:ascii="楷体" w:hAnsi="楷体" w:eastAsia="楷体" w:cs="楷体"/>
          <w:sz w:val="30"/>
          <w:szCs w:val="30"/>
        </w:rPr>
        <w:t>销售过程中，应配备适用于肉与肉制品销售温度要求的展示式冷藏柜。存放冷藏肉与肉制品的展示式冷藏柜柜内温度应保持在0℃~4℃；存放冷冻肉与肉制品的展示式冷藏柜柜内温度应保持在≤-15℃；</w:t>
      </w:r>
    </w:p>
    <w:p>
      <w:pPr>
        <w:spacing w:line="360" w:lineRule="auto"/>
        <w:ind w:left="141" w:leftChars="67" w:firstLine="750" w:firstLineChars="250"/>
        <w:rPr>
          <w:rFonts w:ascii="楷体" w:hAnsi="楷体" w:eastAsia="楷体" w:cs="楷体"/>
          <w:sz w:val="30"/>
          <w:szCs w:val="30"/>
        </w:rPr>
      </w:pPr>
      <w:r>
        <w:rPr>
          <w:rFonts w:hint="eastAsia" w:ascii="楷体" w:hAnsi="楷体" w:eastAsia="楷体" w:cs="楷体"/>
          <w:sz w:val="30"/>
          <w:szCs w:val="30"/>
        </w:rPr>
        <w:t>召回：在运输配送过程中发生的或可能发生的不安全的产品或者入储客户的发生的或可能发生的不安全产品进行产品召回。</w:t>
      </w:r>
    </w:p>
    <w:p>
      <w:pPr>
        <w:numPr>
          <w:ilvl w:val="0"/>
          <w:numId w:val="5"/>
        </w:numPr>
        <w:tabs>
          <w:tab w:val="left" w:pos="426"/>
        </w:tabs>
        <w:spacing w:line="360" w:lineRule="auto"/>
        <w:ind w:left="283" w:leftChars="135" w:firstLine="138" w:firstLineChars="46"/>
        <w:rPr>
          <w:rFonts w:ascii="楷体" w:hAnsi="楷体" w:eastAsia="楷体" w:cs="楷体"/>
          <w:sz w:val="30"/>
          <w:szCs w:val="30"/>
        </w:rPr>
      </w:pPr>
      <w:r>
        <w:rPr>
          <w:rFonts w:hint="eastAsia" w:ascii="楷体" w:hAnsi="楷体" w:eastAsia="楷体" w:cs="楷体"/>
          <w:sz w:val="30"/>
          <w:szCs w:val="30"/>
        </w:rPr>
        <w:t>包装标识：冷藏</w:t>
      </w:r>
      <w:r>
        <w:rPr>
          <w:rFonts w:hint="eastAsia" w:ascii="楷体" w:hAnsi="楷体" w:eastAsia="楷体" w:cs="楷体"/>
          <w:sz w:val="30"/>
          <w:szCs w:val="30"/>
          <w:lang w:eastAsia="zh-CN"/>
        </w:rPr>
        <w:t>肉与肉</w:t>
      </w:r>
      <w:r>
        <w:rPr>
          <w:rFonts w:hint="eastAsia" w:ascii="楷体" w:hAnsi="楷体" w:eastAsia="楷体" w:cs="楷体"/>
          <w:sz w:val="30"/>
          <w:szCs w:val="30"/>
        </w:rPr>
        <w:t>制品产品运输包装与标志应符合GB/T 24616中第4章和第5章的规定；冷冻</w:t>
      </w:r>
      <w:r>
        <w:rPr>
          <w:rFonts w:hint="eastAsia" w:ascii="楷体" w:hAnsi="楷体" w:eastAsia="楷体" w:cs="楷体"/>
          <w:sz w:val="30"/>
          <w:szCs w:val="30"/>
          <w:lang w:eastAsia="zh-CN"/>
        </w:rPr>
        <w:t>肉与肉</w:t>
      </w:r>
      <w:r>
        <w:rPr>
          <w:rFonts w:hint="eastAsia" w:ascii="楷体" w:hAnsi="楷体" w:eastAsia="楷体" w:cs="楷体"/>
          <w:sz w:val="30"/>
          <w:szCs w:val="30"/>
        </w:rPr>
        <w:t>制品产品运输包装与标志应符合GB/T 24617中第4章和第5章的规定。</w:t>
      </w:r>
    </w:p>
    <w:p>
      <w:pPr>
        <w:numPr>
          <w:ilvl w:val="0"/>
          <w:numId w:val="5"/>
        </w:numPr>
        <w:spacing w:line="360" w:lineRule="auto"/>
        <w:ind w:firstLine="465"/>
        <w:rPr>
          <w:rFonts w:ascii="楷体" w:hAnsi="楷体" w:eastAsia="楷体" w:cs="楷体"/>
          <w:sz w:val="30"/>
          <w:szCs w:val="30"/>
        </w:rPr>
      </w:pPr>
      <w:r>
        <w:rPr>
          <w:rFonts w:hint="eastAsia" w:ascii="楷体" w:hAnsi="楷体" w:eastAsia="楷体" w:cs="楷体"/>
          <w:sz w:val="30"/>
          <w:szCs w:val="30"/>
        </w:rPr>
        <w:t>风险控制：应具有保障</w:t>
      </w:r>
      <w:r>
        <w:rPr>
          <w:rFonts w:hint="eastAsia" w:ascii="楷体" w:hAnsi="楷体" w:eastAsia="楷体" w:cs="楷体"/>
          <w:sz w:val="30"/>
          <w:szCs w:val="30"/>
          <w:lang w:eastAsia="zh-CN"/>
        </w:rPr>
        <w:t>肉与肉</w:t>
      </w:r>
      <w:r>
        <w:rPr>
          <w:rFonts w:hint="eastAsia" w:ascii="楷体" w:hAnsi="楷体" w:eastAsia="楷体" w:cs="楷体"/>
          <w:sz w:val="30"/>
          <w:szCs w:val="30"/>
        </w:rPr>
        <w:t>制品产品加工、储存、配送、运输各环节温湿度不断链的风险应急预案，企业应建立重大事故及险情报告制度，建立应急救援现场组织预案。企业还应采取存货保险、财产保险、运输保险等有效控制风险的措施。</w:t>
      </w:r>
    </w:p>
    <w:p>
      <w:pPr>
        <w:spacing w:line="360" w:lineRule="auto"/>
        <w:rPr>
          <w:rFonts w:ascii="楷体" w:hAnsi="楷体" w:eastAsia="楷体" w:cs="楷体"/>
          <w:sz w:val="30"/>
          <w:szCs w:val="30"/>
        </w:rPr>
      </w:pPr>
      <w:r>
        <w:rPr>
          <w:rFonts w:hint="eastAsia" w:ascii="楷体" w:hAnsi="楷体" w:eastAsia="楷体" w:cs="楷体"/>
          <w:b/>
          <w:bCs/>
          <w:sz w:val="30"/>
          <w:szCs w:val="30"/>
          <w:lang w:val="en-US" w:eastAsia="zh-CN"/>
        </w:rPr>
        <w:t>七</w:t>
      </w:r>
      <w:r>
        <w:rPr>
          <w:rFonts w:hint="eastAsia" w:ascii="楷体" w:hAnsi="楷体" w:eastAsia="楷体" w:cs="楷体"/>
          <w:b/>
          <w:bCs/>
          <w:sz w:val="30"/>
          <w:szCs w:val="30"/>
        </w:rPr>
        <w:t>、标准的实施建议：</w:t>
      </w:r>
      <w:r>
        <w:rPr>
          <w:rFonts w:hint="eastAsia" w:ascii="楷体" w:hAnsi="楷体" w:eastAsia="楷体" w:cs="楷体"/>
          <w:sz w:val="30"/>
          <w:szCs w:val="30"/>
        </w:rPr>
        <w:t>　　</w:t>
      </w:r>
    </w:p>
    <w:p>
      <w:pPr>
        <w:rPr>
          <w:rFonts w:ascii="楷体" w:hAnsi="楷体" w:eastAsia="楷体"/>
          <w:sz w:val="30"/>
          <w:szCs w:val="30"/>
        </w:rPr>
      </w:pPr>
      <w:r>
        <w:rPr>
          <w:rFonts w:ascii="楷体" w:hAnsi="楷体" w:eastAsia="楷体" w:cs="楷体"/>
          <w:sz w:val="30"/>
          <w:szCs w:val="30"/>
        </w:rPr>
        <w:t>1</w:t>
      </w:r>
      <w:r>
        <w:rPr>
          <w:rFonts w:hint="eastAsia" w:ascii="楷体" w:hAnsi="楷体" w:eastAsia="楷体" w:cs="楷体"/>
          <w:sz w:val="30"/>
          <w:szCs w:val="30"/>
        </w:rPr>
        <w:t>、本标准是</w:t>
      </w:r>
      <w:r>
        <w:rPr>
          <w:rFonts w:hint="eastAsia" w:ascii="楷体" w:hAnsi="楷体" w:eastAsia="楷体" w:cs="楷体"/>
          <w:sz w:val="30"/>
          <w:szCs w:val="30"/>
          <w:lang w:eastAsia="zh-CN"/>
        </w:rPr>
        <w:t>肉与肉</w:t>
      </w:r>
      <w:r>
        <w:rPr>
          <w:rFonts w:hint="eastAsia" w:ascii="楷体" w:hAnsi="楷体" w:eastAsia="楷体" w:cs="楷体"/>
          <w:sz w:val="30"/>
          <w:szCs w:val="30"/>
        </w:rPr>
        <w:t>制品冷链温控运作的管理性标准，建议作为推荐性国家标准发布并予以实施。</w:t>
      </w:r>
    </w:p>
    <w:p>
      <w:pPr>
        <w:spacing w:line="360" w:lineRule="auto"/>
        <w:rPr>
          <w:rFonts w:ascii="楷体" w:hAnsi="楷体" w:eastAsia="楷体" w:cs="楷体"/>
          <w:sz w:val="30"/>
          <w:szCs w:val="30"/>
        </w:rPr>
      </w:pPr>
      <w:r>
        <w:rPr>
          <w:rFonts w:hint="eastAsia" w:ascii="楷体" w:hAnsi="楷体" w:eastAsia="楷体" w:cs="楷体"/>
          <w:sz w:val="30"/>
          <w:szCs w:val="30"/>
        </w:rPr>
        <w:t>2、冷链物流行业协会是政府与企业的桥梁和纽带，同时也具有带领行业企业规范经营、促进行业发展、维护行业信誉、鼓励公平竞争等职能。中国物流与采购联合会冷链物流专业委员会、各参与单位应尽快实施该行业标准，加大标准的宣传、推广力度，进一步推动冷链物流行业的发展。</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黑体">
    <w:panose1 w:val="02010609060101010101"/>
    <w:charset w:val="86"/>
    <w:family w:val="swiss"/>
    <w:pitch w:val="default"/>
    <w:sig w:usb0="800002BF" w:usb1="38CF7CFA" w:usb2="00000016" w:usb3="00000000" w:csb0="00040001" w:csb1="00000000"/>
  </w:font>
  <w:font w:name="Arial">
    <w:panose1 w:val="020B0604020202020204"/>
    <w:charset w:val="00"/>
    <w:family w:val="decorative"/>
    <w:pitch w:val="default"/>
    <w:sig w:usb0="E0002AFF" w:usb1="C0007843" w:usb2="00000009" w:usb3="00000000" w:csb0="400001FF" w:csb1="FFFF0000"/>
  </w:font>
  <w:font w:name="Courier New">
    <w:panose1 w:val="02070309020205020404"/>
    <w:charset w:val="00"/>
    <w:family w:val="swiss"/>
    <w:pitch w:val="default"/>
    <w:sig w:usb0="E0002AFF" w:usb1="C0007843" w:usb2="00000009" w:usb3="00000000" w:csb0="400001FF" w:csb1="FFFF0000"/>
  </w:font>
  <w:font w:name="微软雅黑">
    <w:panose1 w:val="020B0503020204020204"/>
    <w:charset w:val="86"/>
    <w:family w:val="decorative"/>
    <w:pitch w:val="default"/>
    <w:sig w:usb0="A0000287" w:usb1="28CF3C52" w:usb2="00000016" w:usb3="00000000" w:csb0="0004001F" w:csb1="00000000"/>
  </w:font>
  <w:font w:name="仿宋_GB2312">
    <w:altName w:val="仿宋"/>
    <w:panose1 w:val="02010609030101010101"/>
    <w:charset w:val="86"/>
    <w:family w:val="swiss"/>
    <w:pitch w:val="default"/>
    <w:sig w:usb0="00000000" w:usb1="00000000" w:usb2="00000010" w:usb3="00000000" w:csb0="00040000" w:csb1="00000000"/>
  </w:font>
  <w:font w:name="楷体">
    <w:panose1 w:val="02010609060101010101"/>
    <w:charset w:val="86"/>
    <w:family w:val="swiss"/>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黑体">
    <w:panose1 w:val="02010609060101010101"/>
    <w:charset w:val="86"/>
    <w:family w:val="decorative"/>
    <w:pitch w:val="default"/>
    <w:sig w:usb0="800002BF" w:usb1="38CF7CFA" w:usb2="00000016" w:usb3="00000000" w:csb0="00040001" w:csb1="00000000"/>
  </w:font>
  <w:font w:name="Arial">
    <w:panose1 w:val="020B0604020202020204"/>
    <w:charset w:val="00"/>
    <w:family w:val="roman"/>
    <w:pitch w:val="default"/>
    <w:sig w:usb0="E0002AFF" w:usb1="C0007843" w:usb2="00000009" w:usb3="00000000" w:csb0="400001FF" w:csb1="FFFF0000"/>
  </w:font>
  <w:font w:name="Courier New">
    <w:panose1 w:val="02070309020205020404"/>
    <w:charset w:val="00"/>
    <w:family w:val="decorative"/>
    <w:pitch w:val="default"/>
    <w:sig w:usb0="E0002AFF" w:usb1="C0007843" w:usb2="00000009" w:usb3="00000000" w:csb0="400001FF" w:csb1="FFFF0000"/>
  </w:font>
  <w:font w:name="微软雅黑">
    <w:panose1 w:val="020B0503020204020204"/>
    <w:charset w:val="86"/>
    <w:family w:val="roman"/>
    <w:pitch w:val="default"/>
    <w:sig w:usb0="A0000287" w:usb1="28CF3C52" w:usb2="00000016" w:usb3="00000000" w:csb0="0004001F" w:csb1="00000000"/>
  </w:font>
  <w:font w:name="仿宋_GB2312">
    <w:altName w:val="仿宋"/>
    <w:panose1 w:val="02010609030101010101"/>
    <w:charset w:val="86"/>
    <w:family w:val="decorative"/>
    <w:pitch w:val="default"/>
    <w:sig w:usb0="00000000" w:usb1="00000000" w:usb2="00000010" w:usb3="00000000" w:csb0="00040000" w:csb1="00000000"/>
  </w:font>
  <w:font w:name="楷体">
    <w:panose1 w:val="02010609060101010101"/>
    <w:charset w:val="86"/>
    <w:family w:val="decorative"/>
    <w:pitch w:val="default"/>
    <w:sig w:usb0="800002BF" w:usb1="38CF7CFA" w:usb2="00000016" w:usb3="00000000" w:csb0="00040001"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黑体">
    <w:panose1 w:val="02010609060101010101"/>
    <w:charset w:val="86"/>
    <w:family w:val="roman"/>
    <w:pitch w:val="default"/>
    <w:sig w:usb0="800002BF" w:usb1="38CF7CFA" w:usb2="00000016" w:usb3="00000000" w:csb0="00040001" w:csb1="00000000"/>
  </w:font>
  <w:font w:name="Arial">
    <w:panose1 w:val="020B0604020202020204"/>
    <w:charset w:val="00"/>
    <w:family w:val="modern"/>
    <w:pitch w:val="default"/>
    <w:sig w:usb0="E0002AFF" w:usb1="C0007843" w:usb2="00000009" w:usb3="00000000" w:csb0="400001FF" w:csb1="FFFF0000"/>
  </w:font>
  <w:font w:name="Courier New">
    <w:panose1 w:val="02070309020205020404"/>
    <w:charset w:val="00"/>
    <w:family w:val="roman"/>
    <w:pitch w:val="default"/>
    <w:sig w:usb0="E0002AFF" w:usb1="C0007843" w:usb2="00000009" w:usb3="00000000" w:csb0="400001FF" w:csb1="FFFF0000"/>
  </w:font>
  <w:font w:name="微软雅黑">
    <w:panose1 w:val="020B0503020204020204"/>
    <w:charset w:val="86"/>
    <w:family w:val="modern"/>
    <w:pitch w:val="default"/>
    <w:sig w:usb0="A0000287" w:usb1="28CF3C52" w:usb2="00000016" w:usb3="00000000" w:csb0="0004001F" w:csb1="00000000"/>
  </w:font>
  <w:font w:name="仿宋_GB2312">
    <w:altName w:val="仿宋"/>
    <w:panose1 w:val="02010609030101010101"/>
    <w:charset w:val="86"/>
    <w:family w:val="roman"/>
    <w:pitch w:val="default"/>
    <w:sig w:usb0="00000000" w:usb1="00000000" w:usb2="00000010" w:usb3="00000000" w:csb0="00040000" w:csb1="00000000"/>
  </w:font>
  <w:font w:name="楷体">
    <w:panose1 w:val="02010609060101010101"/>
    <w:charset w:val="86"/>
    <w:family w:val="roman"/>
    <w:pitch w:val="default"/>
    <w:sig w:usb0="800002BF" w:usb1="38CF7CFA" w:usb2="00000016" w:usb3="00000000" w:csb0="00040001"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黑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A0000287" w:usb1="28C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pPr>
    <w:r>
      <w:rPr>
        <w:sz w:val="18"/>
      </w:rPr>
      <w:pict>
        <v:shape id="_x0000_s3073" o:spid="_x0000_s3073"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26754779">
    <w:nsid w:val="550A8CDB"/>
    <w:multiLevelType w:val="singleLevel"/>
    <w:tmpl w:val="550A8CDB"/>
    <w:lvl w:ilvl="0" w:tentative="1">
      <w:start w:val="3"/>
      <w:numFmt w:val="decimal"/>
      <w:suff w:val="nothing"/>
      <w:lvlText w:val="（%1）"/>
      <w:lvlJc w:val="left"/>
    </w:lvl>
  </w:abstractNum>
  <w:abstractNum w:abstractNumId="1450424195">
    <w:nsid w:val="5673B783"/>
    <w:multiLevelType w:val="multilevel"/>
    <w:tmpl w:val="5673B783"/>
    <w:lvl w:ilvl="0" w:tentative="1">
      <w:start w:val="1"/>
      <w:numFmt w:val="decimal"/>
      <w:pStyle w:val="2"/>
      <w:lvlText w:val="%1."/>
      <w:lvlJc w:val="left"/>
      <w:pPr>
        <w:tabs>
          <w:tab w:val="left" w:pos="425"/>
        </w:tabs>
        <w:ind w:left="425" w:hanging="425"/>
      </w:pPr>
    </w:lvl>
    <w:lvl w:ilvl="1" w:tentative="1">
      <w:start w:val="3"/>
      <w:numFmt w:val="decimal"/>
      <w:isLgl/>
      <w:lvlText w:val="%1.%2"/>
      <w:lvlJc w:val="left"/>
      <w:pPr>
        <w:ind w:left="735" w:hanging="735"/>
      </w:pPr>
      <w:rPr>
        <w:rFonts w:hint="eastAsia" w:ascii="黑体" w:hAnsi="黑体" w:eastAsia="黑体" w:cs="黑体"/>
      </w:rPr>
    </w:lvl>
    <w:lvl w:ilvl="2" w:tentative="1">
      <w:start w:val="7"/>
      <w:numFmt w:val="decimal"/>
      <w:isLgl/>
      <w:lvlText w:val="%1.%2.%3"/>
      <w:lvlJc w:val="left"/>
      <w:pPr>
        <w:ind w:left="735" w:hanging="735"/>
      </w:pPr>
      <w:rPr>
        <w:rFonts w:hint="eastAsia" w:ascii="黑体" w:hAnsi="黑体" w:eastAsia="黑体" w:cs="黑体"/>
      </w:rPr>
    </w:lvl>
    <w:lvl w:ilvl="3" w:tentative="1">
      <w:start w:val="1"/>
      <w:numFmt w:val="decimal"/>
      <w:isLgl/>
      <w:lvlText w:val="%1.%2.%3.%4"/>
      <w:lvlJc w:val="left"/>
      <w:pPr>
        <w:ind w:left="1080" w:hanging="1080"/>
      </w:pPr>
      <w:rPr>
        <w:rFonts w:hint="eastAsia" w:ascii="黑体" w:hAnsi="黑体" w:eastAsia="黑体" w:cs="黑体"/>
      </w:rPr>
    </w:lvl>
    <w:lvl w:ilvl="4" w:tentative="1">
      <w:start w:val="1"/>
      <w:numFmt w:val="decimal"/>
      <w:isLgl/>
      <w:lvlText w:val="%1.%2.%3.%4.%5"/>
      <w:lvlJc w:val="left"/>
      <w:pPr>
        <w:ind w:left="1080" w:hanging="1080"/>
      </w:pPr>
      <w:rPr>
        <w:rFonts w:hint="eastAsia" w:ascii="黑体" w:hAnsi="黑体" w:eastAsia="黑体" w:cs="黑体"/>
      </w:rPr>
    </w:lvl>
    <w:lvl w:ilvl="5" w:tentative="1">
      <w:start w:val="1"/>
      <w:numFmt w:val="decimal"/>
      <w:isLgl/>
      <w:lvlText w:val="%1.%2.%3.%4.%5.%6"/>
      <w:lvlJc w:val="left"/>
      <w:pPr>
        <w:ind w:left="1440" w:hanging="1440"/>
      </w:pPr>
      <w:rPr>
        <w:rFonts w:hint="eastAsia" w:ascii="黑体" w:hAnsi="黑体" w:eastAsia="黑体" w:cs="黑体"/>
      </w:rPr>
    </w:lvl>
    <w:lvl w:ilvl="6" w:tentative="1">
      <w:start w:val="1"/>
      <w:numFmt w:val="decimal"/>
      <w:isLgl/>
      <w:lvlText w:val="%1.%2.%3.%4.%5.%6.%7"/>
      <w:lvlJc w:val="left"/>
      <w:pPr>
        <w:ind w:left="1440" w:hanging="1440"/>
      </w:pPr>
      <w:rPr>
        <w:rFonts w:hint="eastAsia" w:ascii="黑体" w:hAnsi="黑体" w:eastAsia="黑体" w:cs="黑体"/>
      </w:rPr>
    </w:lvl>
    <w:lvl w:ilvl="7" w:tentative="1">
      <w:start w:val="1"/>
      <w:numFmt w:val="decimal"/>
      <w:isLgl/>
      <w:lvlText w:val="%1.%2.%3.%4.%5.%6.%7.%8"/>
      <w:lvlJc w:val="left"/>
      <w:pPr>
        <w:ind w:left="1800" w:hanging="1800"/>
      </w:pPr>
      <w:rPr>
        <w:rFonts w:hint="eastAsia" w:ascii="黑体" w:hAnsi="黑体" w:eastAsia="黑体" w:cs="黑体"/>
      </w:rPr>
    </w:lvl>
    <w:lvl w:ilvl="8" w:tentative="1">
      <w:start w:val="1"/>
      <w:numFmt w:val="decimal"/>
      <w:isLgl/>
      <w:lvlText w:val="%1.%2.%3.%4.%5.%6.%7.%8.%9"/>
      <w:lvlJc w:val="left"/>
      <w:pPr>
        <w:ind w:left="1800" w:hanging="1800"/>
      </w:pPr>
      <w:rPr>
        <w:rFonts w:hint="eastAsia" w:ascii="黑体" w:hAnsi="黑体" w:eastAsia="黑体" w:cs="黑体"/>
      </w:rPr>
    </w:lvl>
  </w:abstractNum>
  <w:abstractNum w:abstractNumId="10">
    <w:nsid w:val="0000000A"/>
    <w:multiLevelType w:val="multilevel"/>
    <w:tmpl w:val="0000000A"/>
    <w:lvl w:ilvl="0" w:tentative="1">
      <w:start w:val="1"/>
      <w:numFmt w:val="decimal"/>
      <w:suff w:val="nothing"/>
      <w:lvlText w:val="%1　"/>
      <w:lvlJc w:val="left"/>
      <w:pPr>
        <w:ind w:left="709" w:firstLine="0"/>
      </w:pPr>
      <w:rPr>
        <w:rFonts w:hint="eastAsia" w:ascii="黑体" w:hAnsi="Times New Roman" w:eastAsia="黑体" w:cs="Times New Roman"/>
        <w:b w:val="0"/>
        <w:i w:val="0"/>
        <w:sz w:val="21"/>
        <w:szCs w:val="21"/>
      </w:rPr>
    </w:lvl>
    <w:lvl w:ilvl="1" w:tentative="1">
      <w:start w:val="1"/>
      <w:numFmt w:val="decimal"/>
      <w:pStyle w:val="12"/>
      <w:suff w:val="nothing"/>
      <w:lvlText w:val="%1.%2　"/>
      <w:lvlJc w:val="left"/>
      <w:pPr>
        <w:ind w:left="315" w:firstLine="0"/>
      </w:pPr>
      <w:rPr>
        <w:rFonts w:hint="eastAsia" w:ascii="黑体" w:hAnsi="Times New Roman" w:eastAsia="黑体" w:cs="Times New Roman"/>
        <w:b w:val="0"/>
        <w:bCs w:val="0"/>
        <w:i w:val="0"/>
        <w:iCs w:val="0"/>
        <w:caps w:val="0"/>
        <w:strike w:val="0"/>
        <w:dstrike w:val="0"/>
        <w:outline w:val="0"/>
        <w:shadow w:val="0"/>
        <w:spacing w:val="0"/>
        <w:kern w:val="0"/>
        <w:position w:val="0"/>
        <w:sz w:val="21"/>
        <w:szCs w:val="21"/>
        <w:u w:val="none"/>
      </w:rPr>
    </w:lvl>
    <w:lvl w:ilvl="2" w:tentative="1">
      <w:start w:val="1"/>
      <w:numFmt w:val="decimal"/>
      <w:suff w:val="nothing"/>
      <w:lvlText w:val="%1.%2.%3　"/>
      <w:lvlJc w:val="left"/>
      <w:pPr>
        <w:ind w:left="0" w:firstLine="0"/>
      </w:pPr>
      <w:rPr>
        <w:rFonts w:hint="eastAsia" w:ascii="黑体" w:hAnsi="Times New Roman" w:eastAsia="黑体" w:cs="Times New Roman"/>
        <w:b w:val="0"/>
        <w:i w:val="0"/>
        <w:sz w:val="21"/>
      </w:rPr>
    </w:lvl>
    <w:lvl w:ilvl="3" w:tentative="1">
      <w:start w:val="1"/>
      <w:numFmt w:val="decimal"/>
      <w:suff w:val="nothing"/>
      <w:lvlText w:val="%1.%2.%3.%4　"/>
      <w:lvlJc w:val="left"/>
      <w:pPr>
        <w:ind w:left="142" w:firstLine="0"/>
      </w:pPr>
      <w:rPr>
        <w:rFonts w:hint="eastAsia" w:ascii="黑体" w:hAnsi="Times New Roman" w:eastAsia="黑体" w:cs="Times New Roman"/>
        <w:b w:val="0"/>
        <w:i w:val="0"/>
        <w:sz w:val="21"/>
      </w:rPr>
    </w:lvl>
    <w:lvl w:ilvl="4" w:tentative="1">
      <w:start w:val="1"/>
      <w:numFmt w:val="decimal"/>
      <w:suff w:val="nothing"/>
      <w:lvlText w:val="%1.%2.%3.%4.%5　"/>
      <w:lvlJc w:val="left"/>
      <w:pPr>
        <w:ind w:left="0" w:firstLine="0"/>
      </w:pPr>
      <w:rPr>
        <w:rFonts w:hint="eastAsia" w:ascii="黑体" w:hAnsi="Times New Roman" w:eastAsia="黑体" w:cs="Times New Roman"/>
        <w:b w:val="0"/>
        <w:i w:val="0"/>
        <w:sz w:val="21"/>
      </w:rPr>
    </w:lvl>
    <w:lvl w:ilvl="5" w:tentative="1">
      <w:start w:val="1"/>
      <w:numFmt w:val="decimal"/>
      <w:suff w:val="nothing"/>
      <w:lvlText w:val="%1.%2.%3.%4.%5.%6　"/>
      <w:lvlJc w:val="left"/>
      <w:pPr>
        <w:ind w:left="0" w:firstLine="0"/>
      </w:pPr>
      <w:rPr>
        <w:rFonts w:hint="eastAsia" w:ascii="黑体" w:hAnsi="Times New Roman" w:eastAsia="黑体" w:cs="Times New Roman"/>
        <w:b w:val="0"/>
        <w:i w:val="0"/>
        <w:sz w:val="21"/>
      </w:rPr>
    </w:lvl>
    <w:lvl w:ilvl="6" w:tentative="1">
      <w:start w:val="1"/>
      <w:numFmt w:val="decimal"/>
      <w:suff w:val="nothing"/>
      <w:lvlText w:val="%1%2.%3.%4.%5.%6.%7　"/>
      <w:lvlJc w:val="left"/>
      <w:pPr>
        <w:ind w:left="0" w:firstLine="0"/>
      </w:pPr>
      <w:rPr>
        <w:rFonts w:hint="eastAsia" w:ascii="黑体" w:hAnsi="Times New Roman" w:eastAsia="黑体" w:cs="Times New Roman"/>
        <w:b w:val="0"/>
        <w:i w:val="0"/>
        <w:sz w:val="21"/>
      </w:rPr>
    </w:lvl>
    <w:lvl w:ilvl="7" w:tentative="1">
      <w:start w:val="1"/>
      <w:numFmt w:val="decimal"/>
      <w:lvlText w:val="%1.%2.%3.%4.%5.%6.%7.%8"/>
      <w:lvlJc w:val="left"/>
      <w:pPr>
        <w:tabs>
          <w:tab w:val="left" w:pos="4351"/>
        </w:tabs>
        <w:ind w:left="3969" w:hanging="1418"/>
      </w:pPr>
      <w:rPr>
        <w:rFonts w:hint="eastAsia" w:cs="Times New Roman"/>
      </w:rPr>
    </w:lvl>
    <w:lvl w:ilvl="8" w:tentative="1">
      <w:start w:val="1"/>
      <w:numFmt w:val="decimal"/>
      <w:lvlText w:val="%1.%2.%3.%4.%5.%6.%7.%8.%9"/>
      <w:lvlJc w:val="left"/>
      <w:pPr>
        <w:tabs>
          <w:tab w:val="left" w:pos="4777"/>
        </w:tabs>
        <w:ind w:left="4677" w:hanging="1700"/>
      </w:pPr>
      <w:rPr>
        <w:rFonts w:hint="eastAsia" w:cs="Times New Roman"/>
      </w:rPr>
    </w:lvl>
  </w:abstractNum>
  <w:abstractNum w:abstractNumId="1426751456">
    <w:nsid w:val="550A7FE0"/>
    <w:multiLevelType w:val="singleLevel"/>
    <w:tmpl w:val="550A7FE0"/>
    <w:lvl w:ilvl="0" w:tentative="1">
      <w:start w:val="1"/>
      <w:numFmt w:val="decimal"/>
      <w:suff w:val="nothing"/>
      <w:lvlText w:val="%1、"/>
      <w:lvlJc w:val="left"/>
    </w:lvl>
  </w:abstractNum>
  <w:abstractNum w:abstractNumId="1450855496">
    <w:nsid w:val="567A4C48"/>
    <w:multiLevelType w:val="singleLevel"/>
    <w:tmpl w:val="567A4C48"/>
    <w:lvl w:ilvl="0" w:tentative="1">
      <w:start w:val="2"/>
      <w:numFmt w:val="chineseCounting"/>
      <w:suff w:val="nothing"/>
      <w:lvlText w:val="%1、"/>
      <w:lvlJc w:val="left"/>
    </w:lvl>
  </w:abstractNum>
  <w:num w:numId="1">
    <w:abstractNumId w:val="1450424195"/>
  </w:num>
  <w:num w:numId="2">
    <w:abstractNumId w:val="10"/>
  </w:num>
  <w:num w:numId="3">
    <w:abstractNumId w:val="1450855496"/>
  </w:num>
  <w:num w:numId="4">
    <w:abstractNumId w:val="1426751456"/>
  </w:num>
  <w:num w:numId="5">
    <w:abstractNumId w:val="142675477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adjustLineHeightInTable/>
    <w:useFELayout/>
    <w:compatSetting w:name="compatibilityMode" w:uri="http://schemas.microsoft.com/office/word" w:val="12"/>
  </w:compat>
  <w:rsids>
    <w:rsidRoot w:val="00110FE7"/>
    <w:rsid w:val="0000362C"/>
    <w:rsid w:val="00083DA7"/>
    <w:rsid w:val="000B7588"/>
    <w:rsid w:val="00110FE7"/>
    <w:rsid w:val="00162EFE"/>
    <w:rsid w:val="00195A87"/>
    <w:rsid w:val="001B25F4"/>
    <w:rsid w:val="001D1458"/>
    <w:rsid w:val="0021584F"/>
    <w:rsid w:val="0022663E"/>
    <w:rsid w:val="00253C50"/>
    <w:rsid w:val="00281D08"/>
    <w:rsid w:val="002B4F52"/>
    <w:rsid w:val="002F6851"/>
    <w:rsid w:val="00304734"/>
    <w:rsid w:val="0030709F"/>
    <w:rsid w:val="00317AC1"/>
    <w:rsid w:val="00343CE6"/>
    <w:rsid w:val="00502656"/>
    <w:rsid w:val="005E52F4"/>
    <w:rsid w:val="00624651"/>
    <w:rsid w:val="00636A01"/>
    <w:rsid w:val="006E6F96"/>
    <w:rsid w:val="007040F2"/>
    <w:rsid w:val="00793C77"/>
    <w:rsid w:val="007C133C"/>
    <w:rsid w:val="00813F60"/>
    <w:rsid w:val="00867075"/>
    <w:rsid w:val="00910A50"/>
    <w:rsid w:val="00923D5B"/>
    <w:rsid w:val="0096233D"/>
    <w:rsid w:val="009811A9"/>
    <w:rsid w:val="00986B87"/>
    <w:rsid w:val="00996665"/>
    <w:rsid w:val="0099791C"/>
    <w:rsid w:val="009D53BE"/>
    <w:rsid w:val="009E6433"/>
    <w:rsid w:val="00A70941"/>
    <w:rsid w:val="00A930D7"/>
    <w:rsid w:val="00AC5F7F"/>
    <w:rsid w:val="00BA415A"/>
    <w:rsid w:val="00C40150"/>
    <w:rsid w:val="00CF256C"/>
    <w:rsid w:val="00D2717B"/>
    <w:rsid w:val="00DB7FAB"/>
    <w:rsid w:val="00E826DE"/>
    <w:rsid w:val="00F0074C"/>
    <w:rsid w:val="00F742EE"/>
    <w:rsid w:val="00F80DB2"/>
    <w:rsid w:val="0431119B"/>
    <w:rsid w:val="04CE487D"/>
    <w:rsid w:val="13771DFE"/>
    <w:rsid w:val="1FDB2A52"/>
    <w:rsid w:val="26BB5074"/>
    <w:rsid w:val="28F2067D"/>
    <w:rsid w:val="389030DC"/>
    <w:rsid w:val="3956597A"/>
    <w:rsid w:val="3C0B7B0F"/>
    <w:rsid w:val="3F8B2050"/>
    <w:rsid w:val="53E143AE"/>
    <w:rsid w:val="5930644B"/>
    <w:rsid w:val="5A66205E"/>
    <w:rsid w:val="5F230609"/>
    <w:rsid w:val="63433366"/>
    <w:rsid w:val="6A2C577D"/>
    <w:rsid w:val="7C5B3A94"/>
    <w:rsid w:val="7ECB6D11"/>
    <w:rsid w:val="7FFE5E0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7"/>
    <w:unhideWhenUsed/>
    <w:qFormat/>
    <w:uiPriority w:val="9"/>
    <w:pPr>
      <w:keepNext/>
      <w:keepLines/>
      <w:numPr>
        <w:ilvl w:val="0"/>
        <w:numId w:val="1"/>
      </w:numPr>
      <w:tabs>
        <w:tab w:val="left" w:pos="425"/>
      </w:tabs>
      <w:ind w:left="850"/>
      <w:outlineLvl w:val="1"/>
    </w:pPr>
    <w:rPr>
      <w:rFonts w:ascii="Arial" w:hAnsi="Arial" w:eastAsia="黑体"/>
      <w:b/>
      <w:szCs w:val="24"/>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Plain Text"/>
    <w:basedOn w:val="1"/>
    <w:unhideWhenUsed/>
    <w:qFormat/>
    <w:uiPriority w:val="0"/>
    <w:rPr>
      <w:rFonts w:ascii="宋体" w:hAnsi="Courier New" w:cs="Courier New"/>
      <w:szCs w:val="21"/>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p15"/>
    <w:basedOn w:val="1"/>
    <w:qFormat/>
    <w:uiPriority w:val="0"/>
    <w:pPr>
      <w:widowControl/>
      <w:ind w:firstLine="420"/>
    </w:pPr>
    <w:rPr>
      <w:rFonts w:ascii="宋体" w:hAnsi="宋体" w:cs="宋体"/>
      <w:kern w:val="0"/>
      <w:szCs w:val="21"/>
    </w:rPr>
  </w:style>
  <w:style w:type="paragraph" w:customStyle="1" w:styleId="9">
    <w:name w:val="三级无"/>
    <w:basedOn w:val="1"/>
    <w:qFormat/>
    <w:uiPriority w:val="0"/>
    <w:pPr>
      <w:widowControl/>
      <w:spacing w:beforeLines="50" w:afterLines="50"/>
      <w:jc w:val="left"/>
      <w:outlineLvl w:val="4"/>
    </w:pPr>
    <w:rPr>
      <w:rFonts w:ascii="宋体"/>
      <w:kern w:val="0"/>
      <w:sz w:val="20"/>
      <w:szCs w:val="21"/>
    </w:rPr>
  </w:style>
  <w:style w:type="paragraph" w:customStyle="1" w:styleId="10">
    <w:name w:val="二级条标题"/>
    <w:qFormat/>
    <w:uiPriority w:val="0"/>
    <w:pPr>
      <w:outlineLvl w:val="3"/>
    </w:pPr>
    <w:rPr>
      <w:rFonts w:ascii="Times New Roman" w:hAnsi="Times New Roman" w:eastAsia="宋体" w:cs="Times New Roman"/>
      <w:lang w:val="en-US" w:eastAsia="zh-CN" w:bidi="ar-SA"/>
    </w:rPr>
  </w:style>
  <w:style w:type="paragraph" w:customStyle="1" w:styleId="11">
    <w:name w:val="段"/>
    <w:qFormat/>
    <w:uiPriority w:val="0"/>
    <w:pPr>
      <w:tabs>
        <w:tab w:val="center" w:pos="4201"/>
        <w:tab w:val="right" w:leader="dot" w:pos="9298"/>
      </w:tabs>
      <w:autoSpaceDE w:val="0"/>
      <w:autoSpaceDN w:val="0"/>
      <w:ind w:firstLine="420" w:firstLineChars="200"/>
      <w:jc w:val="both"/>
    </w:pPr>
    <w:rPr>
      <w:rFonts w:ascii="宋体" w:hAnsi="Times New Roman" w:eastAsia="微软雅黑" w:cs="Times New Roman"/>
      <w:sz w:val="21"/>
      <w:lang w:val="en-US" w:eastAsia="zh-CN" w:bidi="ar-SA"/>
    </w:rPr>
  </w:style>
  <w:style w:type="paragraph" w:customStyle="1" w:styleId="12">
    <w:name w:val="一级条标题"/>
    <w:next w:val="11"/>
    <w:qFormat/>
    <w:uiPriority w:val="0"/>
    <w:pPr>
      <w:numPr>
        <w:ilvl w:val="1"/>
        <w:numId w:val="2"/>
      </w:numPr>
      <w:spacing w:beforeLines="50" w:afterLines="50"/>
      <w:outlineLvl w:val="2"/>
    </w:pPr>
    <w:rPr>
      <w:rFonts w:ascii="黑体" w:hAnsi="Times New Roman" w:eastAsia="黑体" w:cs="Times New Roman"/>
      <w:szCs w:val="21"/>
      <w:lang w:val="en-US" w:eastAsia="zh-CN" w:bidi="ar-SA"/>
    </w:rPr>
  </w:style>
  <w:style w:type="character" w:customStyle="1" w:styleId="13">
    <w:name w:val="页眉 Char"/>
    <w:basedOn w:val="6"/>
    <w:link w:val="5"/>
    <w:semiHidden/>
    <w:qFormat/>
    <w:uiPriority w:val="99"/>
    <w:rPr>
      <w:sz w:val="18"/>
      <w:szCs w:val="18"/>
    </w:rPr>
  </w:style>
  <w:style w:type="character" w:customStyle="1" w:styleId="14">
    <w:name w:val="页脚 Char"/>
    <w:basedOn w:val="6"/>
    <w:link w:val="4"/>
    <w:semiHidden/>
    <w:qFormat/>
    <w:uiPriority w:val="99"/>
    <w:rPr>
      <w:sz w:val="18"/>
      <w:szCs w:val="18"/>
    </w:rPr>
  </w:style>
  <w:style w:type="paragraph" w:customStyle="1" w:styleId="15">
    <w:name w:val="列出段落1"/>
    <w:basedOn w:val="1"/>
    <w:qFormat/>
    <w:uiPriority w:val="0"/>
    <w:pPr>
      <w:spacing w:line="360" w:lineRule="auto"/>
      <w:ind w:firstLine="420" w:firstLineChars="200"/>
    </w:pPr>
    <w:rPr>
      <w:rFonts w:ascii="Times New Roman" w:hAnsi="Times New Roman" w:eastAsia="仿宋_GB2312"/>
      <w:sz w:val="24"/>
      <w:szCs w:val="24"/>
    </w:rPr>
  </w:style>
  <w:style w:type="paragraph" w:customStyle="1" w:styleId="16">
    <w:name w:val="二级无"/>
    <w:qFormat/>
    <w:uiPriority w:val="0"/>
    <w:rPr>
      <w:rFonts w:ascii="宋体" w:hAnsi="Times New Roman" w:eastAsia="宋体" w:cs="Times New Roman"/>
      <w:lang w:val="en-US" w:eastAsia="zh-CN" w:bidi="ar-SA"/>
    </w:rPr>
  </w:style>
  <w:style w:type="character" w:customStyle="1" w:styleId="17">
    <w:name w:val="标题 2 Char"/>
    <w:basedOn w:val="6"/>
    <w:link w:val="2"/>
    <w:semiHidden/>
    <w:qFormat/>
    <w:uiPriority w:val="9"/>
    <w:rPr>
      <w:rFonts w:ascii="Arial" w:hAnsi="Arial" w:eastAsia="黑体"/>
      <w:b/>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696</Words>
  <Characters>3968</Characters>
  <Lines>33</Lines>
  <Paragraphs>9</Paragraphs>
  <TotalTime>0</TotalTime>
  <ScaleCrop>false</ScaleCrop>
  <LinksUpToDate>false</LinksUpToDate>
  <CharactersWithSpaces>4655</CharactersWithSpaces>
  <Application>WPS Office_10.1.0.5400_F1E327BC-269C-435d-A152-05C5408002CA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2015-12-11T07:42:00Z</dcterms:created>
  <dc:creator>User</dc:creator>
  <cp:lastModifiedBy>liumin</cp:lastModifiedBy>
  <dcterms:modified xsi:type="dcterms:W3CDTF">2015-12-23T07:20:20Z</dcterms:modified>
  <dc:title>《肉禽类冷链温控运作规范》</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