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uto"/>
        <w:ind w:right="420"/>
        <w:rPr>
          <w:rFonts w:hint="eastAsia" w:ascii="宋体" w:hAnsi="宋体" w:cs="仿宋_GB2312"/>
          <w:b/>
          <w:color w:val="000000"/>
          <w:kern w:val="0"/>
          <w:sz w:val="32"/>
          <w:szCs w:val="32"/>
        </w:rPr>
      </w:pPr>
      <w:r>
        <w:rPr>
          <w:rFonts w:ascii="宋体" w:hAnsi="宋体" w:cs="仿宋_GB2312"/>
          <w:b/>
          <w:color w:val="000000"/>
          <w:kern w:val="0"/>
          <w:sz w:val="28"/>
          <w:szCs w:val="28"/>
        </w:rPr>
        <w:t>附件：</w:t>
      </w:r>
      <w:r>
        <w:rPr>
          <w:rFonts w:hint="eastAsia" w:ascii="宋体" w:hAnsi="宋体" w:cs="仿宋_GB2312"/>
          <w:b/>
          <w:color w:val="000000"/>
          <w:kern w:val="0"/>
          <w:sz w:val="28"/>
          <w:szCs w:val="28"/>
        </w:rPr>
        <w:t xml:space="preserve">  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 xml:space="preserve">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 xml:space="preserve">    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2024第七届化工物流安全环保发展论坛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  <w:lang w:val="en-US" w:eastAsia="zh-CN"/>
        </w:rPr>
        <w:t>报名</w:t>
      </w:r>
      <w:r>
        <w:rPr>
          <w:rFonts w:hint="eastAsia" w:ascii="宋体" w:hAnsi="宋体" w:cs="仿宋_GB2312"/>
          <w:b/>
          <w:color w:val="000000"/>
          <w:kern w:val="0"/>
          <w:sz w:val="32"/>
          <w:szCs w:val="32"/>
        </w:rPr>
        <w:t>回执表</w:t>
      </w:r>
    </w:p>
    <w:tbl>
      <w:tblPr>
        <w:tblStyle w:val="5"/>
        <w:tblW w:w="1119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2" w:space="0"/>
          <w:insideV w:val="single" w:color="auto" w:sz="2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553"/>
        <w:gridCol w:w="1209"/>
        <w:gridCol w:w="1742"/>
        <w:gridCol w:w="260"/>
        <w:gridCol w:w="1548"/>
        <w:gridCol w:w="1205"/>
        <w:gridCol w:w="267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单位名称</w:t>
            </w:r>
          </w:p>
        </w:tc>
        <w:tc>
          <w:tcPr>
            <w:tcW w:w="8639" w:type="dxa"/>
            <w:gridSpan w:val="6"/>
            <w:tcBorders>
              <w:top w:val="single" w:color="auto" w:sz="8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单位地址</w:t>
            </w:r>
          </w:p>
        </w:tc>
        <w:tc>
          <w:tcPr>
            <w:tcW w:w="8639" w:type="dxa"/>
            <w:gridSpan w:val="6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bCs/>
                <w:sz w:val="24"/>
              </w:rPr>
            </w:pPr>
            <w:r>
              <w:rPr>
                <w:rFonts w:eastAsia="仿宋_GB2312"/>
                <w:bCs/>
                <w:sz w:val="24"/>
              </w:rPr>
              <w:t>参会人员统计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姓名</w:t>
            </w: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职务</w:t>
            </w: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手机</w:t>
            </w: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办公电话</w:t>
            </w: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传真</w:t>
            </w: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  <w:r>
              <w:rPr>
                <w:rFonts w:eastAsia="仿宋_GB2312"/>
                <w:sz w:val="24"/>
              </w:rPr>
              <w:t>邮件地址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8" w:hRule="atLeast"/>
          <w:jc w:val="center"/>
        </w:trPr>
        <w:tc>
          <w:tcPr>
            <w:tcW w:w="2553" w:type="dxa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74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80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120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  <w:tc>
          <w:tcPr>
            <w:tcW w:w="2675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spacing w:line="240" w:lineRule="auto"/>
              <w:jc w:val="center"/>
              <w:rPr>
                <w:rFonts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4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hint="eastAsia" w:eastAsia="仿宋_GB2312"/>
                <w:sz w:val="24"/>
                <w:lang w:eastAsia="zh-CN"/>
              </w:rPr>
            </w:pPr>
            <w:r>
              <w:rPr>
                <w:rFonts w:hint="eastAsia" w:eastAsia="仿宋_GB2312"/>
                <w:sz w:val="24"/>
              </w:rPr>
              <w:t>参会人数合计：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</w:rPr>
              <w:t>人， 费用合计人民币：</w:t>
            </w:r>
            <w:r>
              <w:rPr>
                <w:rFonts w:eastAsia="仿宋_GB2312"/>
                <w:sz w:val="24"/>
                <w:u w:val="single"/>
              </w:rPr>
              <w:t xml:space="preserve">       </w:t>
            </w:r>
            <w:r>
              <w:rPr>
                <w:rFonts w:hint="eastAsia" w:eastAsia="仿宋_GB2312"/>
                <w:sz w:val="24"/>
              </w:rPr>
              <w:t>元， 大写：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</w:rPr>
              <w:t>元。</w:t>
            </w:r>
          </w:p>
          <w:p>
            <w:pPr>
              <w:adjustRightInd w:val="0"/>
              <w:snapToGrid w:val="0"/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b/>
                <w:bCs/>
                <w:sz w:val="24"/>
              </w:rPr>
              <w:t>注：</w:t>
            </w:r>
            <w:r>
              <w:rPr>
                <w:rFonts w:hint="eastAsia" w:eastAsia="仿宋_GB2312"/>
                <w:sz w:val="24"/>
              </w:rPr>
              <w:t>物流企业非会员2500元人民币/人，会员1980元人民币/人；技术、装备、咨询、投资类企业非会员3500人民币/人，会员3000元人民币/人；；住宿和交通费用自理。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6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凡参加会议的企业均可视情况在大会现场、会刊开展广告宣传推广或赞助活动：</w:t>
            </w:r>
          </w:p>
          <w:p>
            <w:pPr>
              <w:adjustRightInd w:val="0"/>
              <w:snapToGrid w:val="0"/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□会刊封面广告:4万元    □封底广告:3.5万元    □封二:3万元    □彩插广告:1万元</w:t>
            </w:r>
          </w:p>
          <w:p>
            <w:pPr>
              <w:adjustRightInd w:val="0"/>
              <w:snapToGrid w:val="0"/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□彩跨:1.5万元          □资料装袋:</w:t>
            </w:r>
            <w:r>
              <w:rPr>
                <w:rFonts w:hint="eastAsia" w:eastAsia="仿宋_GB2312"/>
                <w:sz w:val="24"/>
                <w:lang w:val="en-US" w:eastAsia="zh-CN"/>
              </w:rPr>
              <w:t>2</w:t>
            </w:r>
            <w:r>
              <w:rPr>
                <w:rFonts w:hint="eastAsia" w:eastAsia="仿宋_GB2312"/>
                <w:sz w:val="24"/>
              </w:rPr>
              <w:t>万元      □展位:2万元/个，标准展位：2米×2米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eastAsia="仿宋_GB2312"/>
                <w:sz w:val="24"/>
                <w:u w:val="single"/>
              </w:rPr>
            </w:pPr>
            <w:r>
              <w:rPr>
                <w:rFonts w:hint="eastAsia" w:eastAsia="仿宋_GB2312"/>
                <w:b/>
                <w:bCs/>
                <w:sz w:val="24"/>
                <w:lang w:val="en-US" w:eastAsia="zh-CN"/>
              </w:rPr>
              <w:t>请提出参会需求：（运力、货源、咨询、采购等）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</w:p>
          <w:p>
            <w:pPr>
              <w:adjustRightInd w:val="0"/>
              <w:snapToGrid w:val="0"/>
              <w:spacing w:line="440" w:lineRule="exact"/>
              <w:rPr>
                <w:rFonts w:hint="default" w:eastAsia="仿宋_GB2312"/>
                <w:sz w:val="24"/>
                <w:lang w:val="en-US" w:eastAsia="zh-CN"/>
              </w:rPr>
            </w:pP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      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    </w:t>
            </w:r>
            <w:r>
              <w:rPr>
                <w:rFonts w:eastAsia="仿宋_GB2312"/>
                <w:sz w:val="24"/>
                <w:u w:val="single"/>
              </w:rPr>
              <w:t xml:space="preserve"> </w:t>
            </w:r>
            <w:r>
              <w:rPr>
                <w:rFonts w:hint="eastAsia" w:eastAsia="仿宋_GB2312"/>
                <w:sz w:val="24"/>
                <w:u w:val="single"/>
              </w:rPr>
              <w:t xml:space="preserve"> </w:t>
            </w:r>
            <w:r>
              <w:rPr>
                <w:rFonts w:eastAsia="仿宋_GB2312"/>
                <w:sz w:val="24"/>
                <w:u w:val="single"/>
              </w:rPr>
              <w:t xml:space="preserve">  </w:t>
            </w:r>
            <w:r>
              <w:rPr>
                <w:rFonts w:hint="eastAsia" w:eastAsia="仿宋_GB2312"/>
                <w:sz w:val="24"/>
                <w:u w:val="single"/>
              </w:rPr>
              <w:t xml:space="preserve">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05" w:hRule="atLeast"/>
          <w:jc w:val="center"/>
        </w:trPr>
        <w:tc>
          <w:tcPr>
            <w:tcW w:w="5764" w:type="dxa"/>
            <w:gridSpan w:val="4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会议缴纳账户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收款单位：北京中物化联企业管理有限公司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开 户 行：中国工商银行股份有限公司北京礼士路支行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帐    号：0200003609200122005</w:t>
            </w:r>
          </w:p>
        </w:tc>
        <w:tc>
          <w:tcPr>
            <w:tcW w:w="5428" w:type="dxa"/>
            <w:gridSpan w:val="3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360" w:lineRule="auto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发票收讫单位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单位全称：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纳税人识别号：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Cs w:val="21"/>
              </w:rPr>
            </w:pPr>
            <w:r>
              <w:rPr>
                <w:rFonts w:hint="eastAsia" w:eastAsia="仿宋_GB2312"/>
                <w:sz w:val="24"/>
              </w:rPr>
              <w:t>地址、电话：</w:t>
            </w:r>
          </w:p>
          <w:p>
            <w:pPr>
              <w:adjustRightInd w:val="0"/>
              <w:snapToGrid w:val="0"/>
              <w:spacing w:line="360" w:lineRule="auto"/>
              <w:rPr>
                <w:rFonts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开户行及账号：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2" w:space="0"/>
            <w:insideV w:val="single" w:color="auto" w:sz="2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60" w:hRule="atLeast"/>
          <w:jc w:val="center"/>
        </w:trPr>
        <w:tc>
          <w:tcPr>
            <w:tcW w:w="11192" w:type="dxa"/>
            <w:gridSpan w:val="7"/>
            <w:tcBorders>
              <w:top w:val="single" w:color="auto" w:sz="4" w:space="0"/>
              <w:left w:val="single" w:color="auto" w:sz="8" w:space="0"/>
              <w:bottom w:val="single" w:color="auto" w:sz="4" w:space="0"/>
              <w:right w:val="single" w:color="auto" w:sz="8" w:space="0"/>
            </w:tcBorders>
            <w:vAlign w:val="center"/>
          </w:tcPr>
          <w:p>
            <w:pPr>
              <w:adjustRightInd w:val="0"/>
              <w:snapToGrid w:val="0"/>
              <w:spacing w:line="440" w:lineRule="exact"/>
              <w:rPr>
                <w:rFonts w:ascii="黑体" w:hAnsi="黑体" w:eastAsia="黑体" w:cs="黑体"/>
                <w:sz w:val="24"/>
              </w:rPr>
            </w:pPr>
            <w:r>
              <w:rPr>
                <w:rFonts w:hint="eastAsia" w:ascii="黑体" w:hAnsi="黑体" w:eastAsia="黑体" w:cs="黑体"/>
                <w:sz w:val="24"/>
              </w:rPr>
              <w:t>发票开具内容</w:t>
            </w:r>
          </w:p>
          <w:p>
            <w:pPr>
              <w:adjustRightInd w:val="0"/>
              <w:snapToGrid w:val="0"/>
              <w:spacing w:line="440" w:lineRule="exact"/>
              <w:rPr>
                <w:rFonts w:ascii="仿宋_GB2312" w:eastAsia="仿宋_GB2312"/>
                <w:sz w:val="24"/>
              </w:rPr>
            </w:pPr>
            <w:r>
              <w:rPr>
                <w:rFonts w:hint="eastAsia" w:eastAsia="仿宋_GB2312"/>
                <w:sz w:val="24"/>
              </w:rPr>
              <w:t>增值税普通发票：</w:t>
            </w:r>
            <w:r>
              <w:rPr>
                <w:rFonts w:hint="eastAsia" w:ascii="仿宋_GB2312" w:eastAsia="仿宋_GB2312"/>
                <w:sz w:val="24"/>
              </w:rPr>
              <w:t xml:space="preserve">□ </w:t>
            </w:r>
            <w:r>
              <w:rPr>
                <w:rFonts w:hint="eastAsia" w:eastAsia="仿宋_GB2312"/>
                <w:sz w:val="24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</w:rPr>
              <w:t>□ 会议展览服务    □ 会议费</w:t>
            </w:r>
          </w:p>
          <w:p>
            <w:pPr>
              <w:adjustRightInd w:val="0"/>
              <w:snapToGrid w:val="0"/>
              <w:spacing w:line="440" w:lineRule="exact"/>
              <w:rPr>
                <w:rFonts w:eastAsia="仿宋_GB2312"/>
                <w:sz w:val="24"/>
              </w:rPr>
            </w:pPr>
            <w:r>
              <w:rPr>
                <w:rFonts w:hint="eastAsia" w:ascii="仿宋_GB2312" w:eastAsia="仿宋_GB2312"/>
                <w:sz w:val="24"/>
              </w:rPr>
              <w:t xml:space="preserve">增值税专用发票：□ </w:t>
            </w:r>
            <w:r>
              <w:rPr>
                <w:rFonts w:hint="eastAsia" w:eastAsia="仿宋_GB2312"/>
                <w:sz w:val="24"/>
              </w:rPr>
              <w:t xml:space="preserve">会务费       </w:t>
            </w:r>
            <w:r>
              <w:rPr>
                <w:rFonts w:hint="eastAsia" w:ascii="仿宋_GB2312" w:eastAsia="仿宋_GB2312"/>
                <w:sz w:val="24"/>
              </w:rPr>
              <w:t>□ 会议展览服务    □ 会议费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240" w:lineRule="atLeast"/>
        <w:textAlignment w:val="auto"/>
      </w:pPr>
      <w:bookmarkStart w:id="0" w:name="_GoBack"/>
      <w:bookmarkEnd w:id="0"/>
    </w:p>
    <w:sectPr>
      <w:pgSz w:w="12928" w:h="18314"/>
      <w:pgMar w:top="1757" w:right="1474" w:bottom="1757" w:left="1588" w:header="851" w:footer="992" w:gutter="0"/>
      <w:cols w:space="720" w:num="1"/>
      <w:docGrid w:type="linesAndChars" w:linePitch="579" w:charSpace="-84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3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iNTM0ZTg4MTFlNWMwZDUzNDM2ZjQ2ZDMzNzk3NjkifQ=="/>
  </w:docVars>
  <w:rsids>
    <w:rsidRoot w:val="00A36164"/>
    <w:rsid w:val="00027420"/>
    <w:rsid w:val="00094490"/>
    <w:rsid w:val="0010384A"/>
    <w:rsid w:val="00184A68"/>
    <w:rsid w:val="00273A2F"/>
    <w:rsid w:val="0033592C"/>
    <w:rsid w:val="00437E55"/>
    <w:rsid w:val="0063095D"/>
    <w:rsid w:val="006C2129"/>
    <w:rsid w:val="007805A1"/>
    <w:rsid w:val="007C7F23"/>
    <w:rsid w:val="00A36164"/>
    <w:rsid w:val="00B04DF9"/>
    <w:rsid w:val="00BF3747"/>
    <w:rsid w:val="00C53418"/>
    <w:rsid w:val="00D12C50"/>
    <w:rsid w:val="00F13ED7"/>
    <w:rsid w:val="00F723B4"/>
    <w:rsid w:val="03C57F85"/>
    <w:rsid w:val="053C70C1"/>
    <w:rsid w:val="07300CFB"/>
    <w:rsid w:val="08A87863"/>
    <w:rsid w:val="08F1409A"/>
    <w:rsid w:val="0BC9324C"/>
    <w:rsid w:val="0CDF3A7F"/>
    <w:rsid w:val="15D86790"/>
    <w:rsid w:val="17E406CD"/>
    <w:rsid w:val="181C63B7"/>
    <w:rsid w:val="18347CFF"/>
    <w:rsid w:val="18AB322A"/>
    <w:rsid w:val="196E5B04"/>
    <w:rsid w:val="204F132F"/>
    <w:rsid w:val="22BD4D30"/>
    <w:rsid w:val="244F3894"/>
    <w:rsid w:val="259579F7"/>
    <w:rsid w:val="2B4F01A1"/>
    <w:rsid w:val="2E6835BA"/>
    <w:rsid w:val="32436D4B"/>
    <w:rsid w:val="3431735D"/>
    <w:rsid w:val="37CF6323"/>
    <w:rsid w:val="38CD6FF7"/>
    <w:rsid w:val="39CA3889"/>
    <w:rsid w:val="3BFA5A4D"/>
    <w:rsid w:val="3C3F5886"/>
    <w:rsid w:val="3D735434"/>
    <w:rsid w:val="41BC27C6"/>
    <w:rsid w:val="48B17EB5"/>
    <w:rsid w:val="48FB2EBC"/>
    <w:rsid w:val="49674FE1"/>
    <w:rsid w:val="4A51671C"/>
    <w:rsid w:val="4BF30F5A"/>
    <w:rsid w:val="4D597B01"/>
    <w:rsid w:val="4EA979B8"/>
    <w:rsid w:val="51F92DF1"/>
    <w:rsid w:val="57596DCC"/>
    <w:rsid w:val="5A39135C"/>
    <w:rsid w:val="5AAC3898"/>
    <w:rsid w:val="60960B57"/>
    <w:rsid w:val="619A712F"/>
    <w:rsid w:val="69A7024D"/>
    <w:rsid w:val="6C5978E0"/>
    <w:rsid w:val="706B207C"/>
    <w:rsid w:val="746E30FA"/>
    <w:rsid w:val="79FC0D11"/>
    <w:rsid w:val="7AA96D59"/>
    <w:rsid w:val="7E8E117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semiHidden="0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6">
    <w:name w:val="Default Paragraph Font"/>
    <w:autoRedefine/>
    <w:unhideWhenUsed/>
    <w:qFormat/>
    <w:uiPriority w:val="1"/>
  </w:style>
  <w:style w:type="table" w:default="1" w:styleId="5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autoRedefine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8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4">
    <w:name w:val="header"/>
    <w:basedOn w:val="1"/>
    <w:link w:val="7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character" w:customStyle="1" w:styleId="7">
    <w:name w:val="页眉 Char"/>
    <w:basedOn w:val="6"/>
    <w:link w:val="4"/>
    <w:autoRedefine/>
    <w:qFormat/>
    <w:uiPriority w:val="99"/>
    <w:rPr>
      <w:sz w:val="18"/>
      <w:szCs w:val="18"/>
    </w:rPr>
  </w:style>
  <w:style w:type="character" w:customStyle="1" w:styleId="8">
    <w:name w:val="页脚 Char"/>
    <w:basedOn w:val="6"/>
    <w:link w:val="3"/>
    <w:autoRedefine/>
    <w:qFormat/>
    <w:uiPriority w:val="99"/>
    <w:rPr>
      <w:sz w:val="18"/>
      <w:szCs w:val="18"/>
    </w:rPr>
  </w:style>
  <w:style w:type="character" w:customStyle="1" w:styleId="9">
    <w:name w:val="批注框文本 Char"/>
    <w:basedOn w:val="6"/>
    <w:link w:val="2"/>
    <w:autoRedefine/>
    <w:semiHidden/>
    <w:qFormat/>
    <w:uiPriority w:val="99"/>
    <w:rPr>
      <w:rFonts w:ascii="Times New Roman" w:hAnsi="Times New Roman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微软中国</Company>
  <Pages>2</Pages>
  <Words>430</Words>
  <Characters>505</Characters>
  <Lines>4</Lines>
  <Paragraphs>1</Paragraphs>
  <TotalTime>106</TotalTime>
  <ScaleCrop>false</ScaleCrop>
  <LinksUpToDate>false</LinksUpToDate>
  <CharactersWithSpaces>637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2015-10-09T03:46:00Z</dcterms:created>
  <dc:creator>User</dc:creator>
  <cp:lastModifiedBy>茵特劳斯</cp:lastModifiedBy>
  <dcterms:modified xsi:type="dcterms:W3CDTF">2024-04-03T05:16:38Z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24113F418E4C4CBA952E9567198355E6_13</vt:lpwstr>
  </property>
</Properties>
</file>