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506A59">
      <w:pPr>
        <w:widowControl/>
        <w:tabs>
          <w:tab w:val="left" w:pos="4397"/>
        </w:tabs>
        <w:rPr>
          <w:rFonts w:hint="eastAsia" w:ascii="黑体" w:hAnsi="黑体" w:eastAsia="黑体" w:cs="黑体"/>
          <w:kern w:val="0"/>
          <w:sz w:val="30"/>
          <w:szCs w:val="30"/>
        </w:rPr>
      </w:pPr>
      <w:r>
        <w:rPr>
          <w:rFonts w:hint="eastAsia" w:ascii="黑体" w:hAnsi="黑体" w:eastAsia="黑体" w:cs="黑体"/>
          <w:kern w:val="0"/>
          <w:sz w:val="30"/>
          <w:szCs w:val="30"/>
        </w:rPr>
        <w:t>附件1</w:t>
      </w:r>
    </w:p>
    <w:p w14:paraId="0B0CA91C">
      <w:pPr>
        <w:jc w:val="center"/>
        <w:rPr>
          <w:rFonts w:hint="eastAsia" w:ascii="方正小标宋简体" w:hAnsi="方正小标宋简体" w:eastAsia="方正小标宋简体" w:cs="方正小标宋简体"/>
          <w:bCs/>
          <w:spacing w:val="23"/>
          <w:sz w:val="40"/>
          <w:szCs w:val="40"/>
        </w:rPr>
      </w:pPr>
      <w:bookmarkStart w:id="2" w:name="_GoBack"/>
      <w:r>
        <w:rPr>
          <w:rFonts w:hint="eastAsia" w:ascii="方正小标宋简体" w:hAnsi="方正小标宋简体" w:eastAsia="方正小标宋简体" w:cs="方正小标宋简体"/>
          <w:bCs/>
          <w:spacing w:val="23"/>
          <w:sz w:val="40"/>
          <w:szCs w:val="40"/>
        </w:rPr>
        <w:t>有效降低全社会物流成本典型案例</w:t>
      </w:r>
    </w:p>
    <w:p w14:paraId="7FC0434D">
      <w:pPr>
        <w:jc w:val="center"/>
        <w:rPr>
          <w:rFonts w:hint="eastAsia" w:ascii="方正小标宋简体" w:hAnsi="方正小标宋简体" w:eastAsia="方正小标宋简体" w:cs="方正小标宋简体"/>
          <w:bCs/>
          <w:spacing w:val="23"/>
          <w:sz w:val="40"/>
          <w:szCs w:val="40"/>
        </w:rPr>
      </w:pPr>
      <w:r>
        <w:rPr>
          <w:rFonts w:hint="eastAsia" w:ascii="方正小标宋简体" w:hAnsi="方正小标宋简体" w:eastAsia="方正小标宋简体" w:cs="方正小标宋简体"/>
          <w:bCs/>
          <w:spacing w:val="23"/>
          <w:sz w:val="40"/>
          <w:szCs w:val="40"/>
        </w:rPr>
        <w:t>申报材料模板</w:t>
      </w:r>
    </w:p>
    <w:bookmarkEnd w:id="2"/>
    <w:p w14:paraId="0DE2E0A7">
      <w:pPr>
        <w:spacing w:line="580" w:lineRule="exact"/>
        <w:ind w:firstLine="601"/>
        <w:jc w:val="left"/>
        <w:rPr>
          <w:rFonts w:ascii="Times New Roman" w:hAnsi="Times New Roman" w:eastAsia="仿宋_GB2312"/>
          <w:color w:val="000000"/>
          <w:sz w:val="30"/>
          <w:szCs w:val="30"/>
        </w:rPr>
      </w:pPr>
      <w:r>
        <w:rPr>
          <w:rFonts w:hint="eastAsia" w:ascii="Times New Roman" w:hAnsi="Times New Roman" w:eastAsia="仿宋_GB2312"/>
          <w:color w:val="000000"/>
          <w:sz w:val="30"/>
          <w:szCs w:val="30"/>
        </w:rPr>
        <w:t>重点提炼有效降低全社会物流成本的创新做法，形成可复制、可推广的成功经验。案例篇幅不少于4000字，相关内容真实可靠、特色鲜明、重点突出、语言平实、数据准确。</w:t>
      </w:r>
    </w:p>
    <w:p w14:paraId="53D12DED">
      <w:pPr>
        <w:pStyle w:val="5"/>
        <w:spacing w:line="580" w:lineRule="exact"/>
        <w:ind w:firstLine="600" w:firstLineChars="200"/>
        <w:rPr>
          <w:rFonts w:ascii="Times New Roman" w:hAnsi="Times New Roman" w:eastAsia="黑体" w:cs="黑体"/>
          <w:bCs/>
          <w:color w:val="000000"/>
          <w:kern w:val="0"/>
          <w:sz w:val="30"/>
          <w:szCs w:val="30"/>
          <w:shd w:val="clear" w:color="auto" w:fill="FFFFFF"/>
          <w:lang w:bidi="ar"/>
        </w:rPr>
      </w:pPr>
      <w:r>
        <w:rPr>
          <w:rFonts w:hint="eastAsia" w:ascii="Times New Roman" w:hAnsi="Times New Roman" w:eastAsia="黑体" w:cs="黑体"/>
          <w:bCs/>
          <w:color w:val="000000"/>
          <w:kern w:val="0"/>
          <w:sz w:val="30"/>
          <w:szCs w:val="30"/>
          <w:shd w:val="clear" w:color="auto" w:fill="FFFFFF"/>
          <w:lang w:bidi="ar"/>
        </w:rPr>
        <w:t>一、案例内容背景（约500字）</w:t>
      </w:r>
    </w:p>
    <w:p w14:paraId="1ADBACF9">
      <w:pPr>
        <w:spacing w:line="580" w:lineRule="exact"/>
        <w:ind w:firstLine="601"/>
        <w:jc w:val="left"/>
        <w:rPr>
          <w:rFonts w:ascii="Times New Roman" w:hAnsi="Times New Roman" w:eastAsia="仿宋_GB2312"/>
          <w:color w:val="000000"/>
          <w:sz w:val="30"/>
          <w:szCs w:val="30"/>
        </w:rPr>
      </w:pPr>
      <w:r>
        <w:rPr>
          <w:rFonts w:hint="eastAsia" w:ascii="Times New Roman" w:hAnsi="Times New Roman" w:eastAsia="仿宋_GB2312"/>
          <w:color w:val="000000"/>
          <w:sz w:val="30"/>
          <w:szCs w:val="30"/>
        </w:rPr>
        <w:t>包括但不限于案例所属行业（产业）发展情况、企业概况、背景信息、形势挑战等内容。</w:t>
      </w:r>
    </w:p>
    <w:p w14:paraId="7887980E">
      <w:pPr>
        <w:pStyle w:val="5"/>
        <w:spacing w:line="580" w:lineRule="exact"/>
        <w:ind w:firstLine="600" w:firstLineChars="200"/>
        <w:rPr>
          <w:rFonts w:ascii="Times New Roman" w:hAnsi="Times New Roman" w:eastAsia="黑体" w:cs="黑体"/>
          <w:bCs/>
          <w:color w:val="000000"/>
          <w:kern w:val="0"/>
          <w:sz w:val="30"/>
          <w:szCs w:val="30"/>
          <w:shd w:val="clear" w:color="auto" w:fill="FFFFFF"/>
          <w:lang w:bidi="ar"/>
        </w:rPr>
      </w:pPr>
      <w:r>
        <w:rPr>
          <w:rFonts w:hint="eastAsia" w:ascii="Times New Roman" w:hAnsi="Times New Roman" w:eastAsia="黑体" w:cs="黑体"/>
          <w:bCs/>
          <w:color w:val="000000"/>
          <w:kern w:val="0"/>
          <w:sz w:val="30"/>
          <w:szCs w:val="30"/>
          <w:shd w:val="clear" w:color="auto" w:fill="FFFFFF"/>
          <w:lang w:bidi="ar"/>
        </w:rPr>
        <w:t>二、</w:t>
      </w:r>
      <w:bookmarkStart w:id="0" w:name="_Hlk162434063"/>
      <w:r>
        <w:rPr>
          <w:rFonts w:hint="eastAsia" w:ascii="Times New Roman" w:hAnsi="Times New Roman" w:eastAsia="黑体" w:cs="黑体"/>
          <w:bCs/>
          <w:color w:val="000000"/>
          <w:kern w:val="0"/>
          <w:sz w:val="30"/>
          <w:szCs w:val="30"/>
          <w:shd w:val="clear" w:color="auto" w:fill="FFFFFF"/>
          <w:lang w:bidi="ar"/>
        </w:rPr>
        <w:t>创新做法</w:t>
      </w:r>
      <w:bookmarkEnd w:id="0"/>
      <w:r>
        <w:rPr>
          <w:rFonts w:hint="eastAsia" w:ascii="Times New Roman" w:hAnsi="Times New Roman" w:eastAsia="黑体" w:cs="黑体"/>
          <w:bCs/>
          <w:color w:val="000000"/>
          <w:kern w:val="0"/>
          <w:sz w:val="30"/>
          <w:szCs w:val="30"/>
          <w:shd w:val="clear" w:color="auto" w:fill="FFFFFF"/>
          <w:lang w:bidi="ar"/>
        </w:rPr>
        <w:t>总结（3000字以上）</w:t>
      </w:r>
    </w:p>
    <w:p w14:paraId="04E15BDB">
      <w:pPr>
        <w:spacing w:line="580" w:lineRule="exact"/>
        <w:ind w:firstLine="601"/>
        <w:jc w:val="left"/>
        <w:rPr>
          <w:rFonts w:ascii="Times New Roman" w:hAnsi="Times New Roman" w:eastAsia="仿宋_GB2312"/>
          <w:color w:val="000000"/>
          <w:sz w:val="30"/>
          <w:szCs w:val="30"/>
        </w:rPr>
      </w:pPr>
      <w:r>
        <w:rPr>
          <w:rFonts w:hint="eastAsia" w:ascii="Times New Roman" w:hAnsi="Times New Roman" w:eastAsia="仿宋_GB2312"/>
          <w:color w:val="000000"/>
          <w:sz w:val="30"/>
          <w:szCs w:val="30"/>
        </w:rPr>
        <w:t>（1）创新做法。从国际物流延伸拓展、物流新质生产力培育、产业链供应链融合创新、物流枢纽能级提升、绿色低碳物流转型领域中选择一个方向，梳理总结</w:t>
      </w:r>
      <w:bookmarkStart w:id="1" w:name="_Hlk59549874"/>
      <w:r>
        <w:rPr>
          <w:rFonts w:hint="eastAsia" w:ascii="Times New Roman" w:hAnsi="Times New Roman" w:eastAsia="仿宋_GB2312"/>
          <w:color w:val="000000"/>
          <w:sz w:val="30"/>
          <w:szCs w:val="30"/>
        </w:rPr>
        <w:t>企业、枢纽园区或平台推进物流提质增效降本</w:t>
      </w:r>
      <w:bookmarkEnd w:id="1"/>
      <w:r>
        <w:rPr>
          <w:rFonts w:hint="eastAsia" w:ascii="Times New Roman" w:hAnsi="Times New Roman" w:eastAsia="仿宋_GB2312"/>
          <w:color w:val="000000"/>
          <w:sz w:val="30"/>
          <w:szCs w:val="30"/>
        </w:rPr>
        <w:t>的创新做法，重点突出技术创新、模式创新和业态创新。</w:t>
      </w:r>
    </w:p>
    <w:p w14:paraId="548DA352">
      <w:pPr>
        <w:spacing w:line="580" w:lineRule="exact"/>
        <w:ind w:firstLine="601"/>
        <w:jc w:val="left"/>
        <w:rPr>
          <w:rFonts w:ascii="Times New Roman" w:hAnsi="Times New Roman" w:eastAsia="仿宋_GB2312"/>
          <w:color w:val="000000"/>
          <w:sz w:val="30"/>
          <w:szCs w:val="30"/>
        </w:rPr>
      </w:pPr>
      <w:r>
        <w:rPr>
          <w:rFonts w:hint="eastAsia" w:ascii="Times New Roman" w:hAnsi="Times New Roman" w:eastAsia="仿宋_GB2312"/>
          <w:color w:val="000000"/>
          <w:sz w:val="30"/>
          <w:szCs w:val="30"/>
        </w:rPr>
        <w:t>创新做法框架应涵盖问题提出、目标任务、思路对策、主要做法、创新亮点等内容，重点通过物流流程、组织和管理等的前后对比分析，呈现创新路径与实践经验。</w:t>
      </w:r>
    </w:p>
    <w:p w14:paraId="58BF548F">
      <w:pPr>
        <w:spacing w:line="580" w:lineRule="exact"/>
        <w:ind w:firstLine="601"/>
        <w:jc w:val="left"/>
        <w:rPr>
          <w:sz w:val="30"/>
          <w:szCs w:val="30"/>
        </w:rPr>
      </w:pPr>
      <w:r>
        <w:rPr>
          <w:rFonts w:hint="eastAsia" w:ascii="Times New Roman" w:hAnsi="Times New Roman" w:eastAsia="仿宋_GB2312"/>
          <w:color w:val="000000"/>
          <w:sz w:val="30"/>
          <w:szCs w:val="30"/>
        </w:rPr>
        <w:t>（2）实施效果。</w:t>
      </w:r>
      <w:r>
        <w:rPr>
          <w:rFonts w:hint="eastAsia" w:ascii="Times New Roman" w:hAnsi="Times New Roman" w:eastAsia="仿宋_GB2312"/>
          <w:b/>
          <w:bCs/>
          <w:color w:val="000000"/>
          <w:sz w:val="30"/>
          <w:szCs w:val="30"/>
        </w:rPr>
        <w:t>用数据指标说明降本增效经济效益和社会效益。</w:t>
      </w:r>
      <w:r>
        <w:rPr>
          <w:rFonts w:hint="eastAsia" w:ascii="Times New Roman" w:hAnsi="Times New Roman" w:eastAsia="仿宋_GB2312"/>
          <w:color w:val="000000"/>
          <w:sz w:val="30"/>
          <w:szCs w:val="30"/>
        </w:rPr>
        <w:t>经济效益包括但不限于：物流成本降低水平、物流效率提升水平、物流资源节约水平、库存周转效率提升水平、人工成本节约水平、客户订单履约水平、节能减排水平等。</w:t>
      </w:r>
    </w:p>
    <w:p w14:paraId="3F1BCEA3">
      <w:pPr>
        <w:pStyle w:val="5"/>
        <w:spacing w:line="580" w:lineRule="exact"/>
        <w:ind w:firstLine="600" w:firstLineChars="200"/>
        <w:rPr>
          <w:rFonts w:ascii="Times New Roman" w:hAnsi="Times New Roman" w:eastAsia="黑体" w:cs="黑体"/>
          <w:bCs/>
          <w:color w:val="000000"/>
          <w:kern w:val="0"/>
          <w:sz w:val="30"/>
          <w:szCs w:val="30"/>
          <w:shd w:val="clear" w:color="auto" w:fill="FFFFFF"/>
          <w:lang w:bidi="ar"/>
        </w:rPr>
      </w:pPr>
      <w:r>
        <w:rPr>
          <w:rFonts w:hint="eastAsia" w:ascii="Times New Roman" w:hAnsi="Times New Roman" w:eastAsia="黑体" w:cs="黑体"/>
          <w:bCs/>
          <w:color w:val="000000"/>
          <w:kern w:val="0"/>
          <w:sz w:val="30"/>
          <w:szCs w:val="30"/>
          <w:shd w:val="clear" w:color="auto" w:fill="FFFFFF"/>
          <w:lang w:bidi="ar"/>
        </w:rPr>
        <w:t>三、典型经验提炼（约500字）</w:t>
      </w:r>
    </w:p>
    <w:p w14:paraId="28D31124">
      <w:pPr>
        <w:spacing w:line="580" w:lineRule="exact"/>
        <w:ind w:firstLine="601"/>
        <w:jc w:val="left"/>
        <w:rPr>
          <w:rFonts w:ascii="Times New Roman" w:hAnsi="Times New Roman" w:eastAsia="仿宋_GB2312"/>
          <w:color w:val="000000"/>
          <w:sz w:val="30"/>
          <w:szCs w:val="30"/>
        </w:rPr>
      </w:pPr>
      <w:r>
        <w:rPr>
          <w:rFonts w:hint="eastAsia" w:ascii="Times New Roman" w:hAnsi="Times New Roman" w:eastAsia="仿宋_GB2312"/>
          <w:color w:val="000000"/>
          <w:sz w:val="30"/>
          <w:szCs w:val="30"/>
        </w:rPr>
        <w:t>总结提炼出可复制和有推广价值的经验方法、基本原则、成功要素和实践体会等。</w:t>
      </w:r>
    </w:p>
    <w:p w14:paraId="44456852">
      <w:pPr>
        <w:pStyle w:val="5"/>
        <w:spacing w:line="580" w:lineRule="exact"/>
        <w:ind w:firstLine="600" w:firstLineChars="200"/>
        <w:rPr>
          <w:rFonts w:ascii="Times New Roman" w:hAnsi="Times New Roman" w:eastAsia="黑体" w:cs="黑体"/>
          <w:bCs/>
          <w:color w:val="000000"/>
          <w:kern w:val="0"/>
          <w:sz w:val="30"/>
          <w:szCs w:val="30"/>
          <w:shd w:val="clear" w:color="auto" w:fill="FFFFFF"/>
          <w:lang w:bidi="ar"/>
        </w:rPr>
      </w:pPr>
      <w:r>
        <w:rPr>
          <w:rFonts w:hint="eastAsia" w:ascii="Times New Roman" w:hAnsi="Times New Roman" w:eastAsia="黑体" w:cs="黑体"/>
          <w:bCs/>
          <w:color w:val="000000"/>
          <w:kern w:val="0"/>
          <w:sz w:val="30"/>
          <w:szCs w:val="30"/>
          <w:shd w:val="clear" w:color="auto" w:fill="FFFFFF"/>
          <w:lang w:bidi="ar"/>
        </w:rPr>
        <w:t>四、政策建议（不计入字数）</w:t>
      </w:r>
    </w:p>
    <w:p w14:paraId="35BFEE40">
      <w:pPr>
        <w:spacing w:line="580" w:lineRule="exact"/>
        <w:ind w:firstLine="601"/>
        <w:jc w:val="left"/>
        <w:rPr>
          <w:rFonts w:ascii="Times New Roman" w:hAnsi="Times New Roman" w:eastAsia="仿宋_GB2312"/>
          <w:color w:val="000000"/>
          <w:sz w:val="30"/>
          <w:szCs w:val="30"/>
        </w:rPr>
      </w:pPr>
      <w:r>
        <w:rPr>
          <w:rFonts w:hint="eastAsia" w:ascii="Times New Roman" w:hAnsi="Times New Roman" w:eastAsia="仿宋_GB2312"/>
          <w:color w:val="000000"/>
          <w:sz w:val="30"/>
          <w:szCs w:val="30"/>
        </w:rPr>
        <w:t>物流企业、制造企业、商贸企业、枢纽园区和平台等各类主体推进降低全社会物流成本面临的政策问题和具体建议。</w:t>
      </w:r>
    </w:p>
    <w:p w14:paraId="1F23ECA3">
      <w:pPr>
        <w:pStyle w:val="5"/>
        <w:spacing w:line="580" w:lineRule="exact"/>
        <w:ind w:firstLine="600" w:firstLineChars="200"/>
        <w:rPr>
          <w:rFonts w:ascii="Times New Roman" w:hAnsi="Times New Roman" w:eastAsia="黑体" w:cs="黑体"/>
          <w:bCs/>
          <w:color w:val="000000"/>
          <w:kern w:val="0"/>
          <w:sz w:val="30"/>
          <w:szCs w:val="30"/>
          <w:shd w:val="clear" w:color="auto" w:fill="FFFFFF"/>
          <w:lang w:bidi="ar"/>
        </w:rPr>
      </w:pPr>
      <w:r>
        <w:rPr>
          <w:rFonts w:hint="eastAsia" w:ascii="Times New Roman" w:hAnsi="Times New Roman" w:eastAsia="黑体" w:cs="黑体"/>
          <w:bCs/>
          <w:color w:val="000000"/>
          <w:kern w:val="0"/>
          <w:sz w:val="30"/>
          <w:szCs w:val="30"/>
          <w:shd w:val="clear" w:color="auto" w:fill="FFFFFF"/>
          <w:lang w:bidi="ar"/>
        </w:rPr>
        <w:t>五、补充材料</w:t>
      </w:r>
    </w:p>
    <w:p w14:paraId="08C53AB6">
      <w:r>
        <w:rPr>
          <w:rFonts w:hint="eastAsia" w:ascii="Times New Roman" w:hAnsi="Times New Roman" w:eastAsia="仿宋_GB2312"/>
          <w:color w:val="000000"/>
          <w:sz w:val="30"/>
          <w:szCs w:val="30"/>
        </w:rPr>
        <w:t>申报企业社会荣誉。</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方正仿宋_GBK">
    <w:panose1 w:val="03000509000000000000"/>
    <w:charset w:val="86"/>
    <w:family w:val="script"/>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5814E0A"/>
    <w:rsid w:val="75814E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qFormat="1"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table of figures"/>
    <w:basedOn w:val="1"/>
    <w:next w:val="1"/>
    <w:qFormat/>
    <w:uiPriority w:val="0"/>
    <w:pPr>
      <w:adjustRightInd w:val="0"/>
      <w:snapToGrid w:val="0"/>
      <w:spacing w:line="588" w:lineRule="exact"/>
      <w:ind w:firstLine="800" w:firstLineChars="200"/>
    </w:pPr>
    <w:rPr>
      <w:rFonts w:ascii="Times New Roman" w:hAnsi="Times New Roman" w:eastAsia="方正仿宋_GBK"/>
      <w:sz w:val="30"/>
    </w:rPr>
  </w:style>
  <w:style w:type="paragraph" w:styleId="5">
    <w:name w:val="No Spacing"/>
    <w:qFormat/>
    <w:uiPriority w:val="1"/>
    <w:pPr>
      <w:widowControl w:val="0"/>
      <w:jc w:val="both"/>
    </w:pPr>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2025-05-20T09:36:00Z</dcterms:created>
  <dc:creator>Sally-tang</dc:creator>
  <cp:lastModifiedBy>Sally-tang</cp:lastModifiedBy>
  <dcterms:modified xsi:type="dcterms:W3CDTF">2025-05-20T09:36:19Z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916B014064E84FBB8058CE98823F4F31_11</vt:lpwstr>
  </property>
  <property fmtid="{D5CDD505-2E9C-101B-9397-08002B2CF9AE}" pid="4" name="KSOTemplateDocerSaveRecord">
    <vt:lpwstr>eyJoZGlkIjoiZTMwM2Y5OThkNWZjZDBlNjYzYWYwMzA4ZGZiNzM1MTkiLCJ1c2VySWQiOiIzMzA4OTUwNTMifQ==</vt:lpwstr>
  </property>
</Properties>
</file>