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D6B7AF">
      <w:pPr>
        <w:wordWrap w:val="0"/>
        <w:jc w:val="left"/>
        <w:rPr>
          <w:rFonts w:hint="eastAsia" w:ascii="黑体" w:hAnsi="黑体" w:eastAsia="黑体" w:cs="黑体"/>
          <w:snapToGrid w:val="0"/>
          <w:color w:val="000000"/>
          <w:kern w:val="0"/>
          <w:sz w:val="32"/>
          <w:szCs w:val="32"/>
          <w14:ligatures w14:val="none"/>
        </w:rPr>
      </w:pPr>
      <w:r>
        <w:rPr>
          <w:rFonts w:ascii="Times New Roman" w:hAnsi="Times New Roman" w:eastAsia="仿宋_GB2312"/>
          <w:color w:val="000000"/>
          <w:sz w:val="32"/>
          <w:szCs w:val="32"/>
          <w14:ligatures w14:val="none"/>
        </w:rPr>
        <w:t xml:space="preserve"> </w:t>
      </w:r>
      <w:r>
        <w:rPr>
          <w:rFonts w:hint="eastAsia" w:ascii="黑体" w:hAnsi="黑体" w:eastAsia="黑体" w:cs="黑体"/>
          <w:snapToGrid w:val="0"/>
          <w:color w:val="000000"/>
          <w:kern w:val="0"/>
          <w:sz w:val="32"/>
          <w:szCs w:val="32"/>
          <w14:ligatures w14:val="none"/>
        </w:rPr>
        <w:t>附件1</w:t>
      </w:r>
    </w:p>
    <w:p w14:paraId="6B51AA6F">
      <w:pPr>
        <w:spacing w:after="312" w:afterLines="100" w:line="560" w:lineRule="exact"/>
        <w:jc w:val="center"/>
        <w:rPr>
          <w:rFonts w:ascii="Times New Roman" w:hAnsi="Times New Roman" w:eastAsia="方正小标宋简体"/>
          <w:sz w:val="44"/>
          <w:szCs w:val="44"/>
          <w14:ligatures w14:val="none"/>
        </w:rPr>
      </w:pPr>
      <w:r>
        <w:rPr>
          <w:rFonts w:hint="eastAsia" w:ascii="Times New Roman" w:hAnsi="Times New Roman" w:eastAsia="方正小标宋简体"/>
          <w:sz w:val="44"/>
          <w:szCs w:val="44"/>
          <w14:ligatures w14:val="none"/>
        </w:rPr>
        <w:t>会议议程（暂定）</w:t>
      </w:r>
    </w:p>
    <w:p w14:paraId="370459E3">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一、25日全天：2025年“数据要素×交通运输”赛道决赛现场答辩</w:t>
      </w:r>
    </w:p>
    <w:p w14:paraId="3CF93328">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二、25日全天：参会代表报到</w:t>
      </w:r>
    </w:p>
    <w:p w14:paraId="3F2C4944">
      <w:pPr>
        <w:spacing w:line="580" w:lineRule="exact"/>
        <w:ind w:firstLine="1280" w:firstLineChars="4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25日下午：</w:t>
      </w:r>
    </w:p>
    <w:p w14:paraId="21039756">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座谈会：国家标准《物流企业数字化》（业务平台要求、数据管理要求）研讨</w:t>
      </w:r>
    </w:p>
    <w:p w14:paraId="21D18BB8">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座谈会：网络货运、网络水运政策、税务及法律问题研讨</w:t>
      </w:r>
    </w:p>
    <w:p w14:paraId="7EE9E4A3">
      <w:pPr>
        <w:spacing w:line="580" w:lineRule="exact"/>
        <w:ind w:firstLine="640" w:firstLineChars="200"/>
        <w:rPr>
          <w:rFonts w:ascii="Times New Roman" w:hAnsi="Times New Roman" w:eastAsia="仿宋_GB2312"/>
          <w:b/>
          <w:bCs/>
          <w:color w:val="000000" w:themeColor="text1"/>
          <w:sz w:val="32"/>
          <w:szCs w:val="32"/>
          <w14:textFill>
            <w14:solidFill>
              <w14:schemeClr w14:val="tx1"/>
            </w14:solidFill>
          </w14:textFill>
          <w14:ligatures w14:val="none"/>
        </w:rPr>
      </w:pPr>
      <w:r>
        <w:rPr>
          <w:rFonts w:hint="eastAsia" w:ascii="Times New Roman" w:hAnsi="Times New Roman" w:eastAsia="仿宋_GB2312"/>
          <w:color w:val="000000" w:themeColor="text1"/>
          <w:sz w:val="32"/>
          <w:szCs w:val="32"/>
          <w14:textFill>
            <w14:solidFill>
              <w14:schemeClr w14:val="tx1"/>
            </w14:solidFill>
          </w14:textFill>
          <w14:ligatures w14:val="none"/>
        </w:rPr>
        <w:t>闭门会：物流与供应链企业数智化发展方向研讨</w:t>
      </w:r>
    </w:p>
    <w:p w14:paraId="6DF53666">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三、26日上午：全体大会（包括开幕式和主题演讲）</w:t>
      </w:r>
    </w:p>
    <w:p w14:paraId="7334EA8D">
      <w:pPr>
        <w:spacing w:line="580" w:lineRule="exact"/>
        <w:ind w:firstLine="643" w:firstLineChars="200"/>
        <w:rPr>
          <w:rFonts w:ascii="Times New Roman" w:hAnsi="Times New Roman" w:eastAsia="仿宋_GB2312"/>
          <w:b/>
          <w:bCs/>
          <w:color w:val="000000"/>
          <w:sz w:val="32"/>
          <w:szCs w:val="32"/>
          <w14:ligatures w14:val="none"/>
        </w:rPr>
      </w:pPr>
      <w:r>
        <w:rPr>
          <w:rFonts w:hint="eastAsia" w:ascii="Times New Roman" w:hAnsi="Times New Roman" w:eastAsia="仿宋_GB2312"/>
          <w:b/>
          <w:bCs/>
          <w:color w:val="000000"/>
          <w:sz w:val="32"/>
          <w:szCs w:val="32"/>
          <w14:ligatures w14:val="none"/>
        </w:rPr>
        <w:t>（一）政策解读</w:t>
      </w:r>
    </w:p>
    <w:p w14:paraId="50171B08">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1．探讨有效降低全社会物流成本的全局战略、具体方法与有效途径；</w:t>
      </w:r>
    </w:p>
    <w:p w14:paraId="2174ECD5">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2．开展物流数据开放互联试点是促进物流资源优化配置、推动有效降低全社会物流成本的有效手段，创新物流数据交互模式和解决方案，探索建立多层次物流数据开放互联机制；</w:t>
      </w:r>
    </w:p>
    <w:p w14:paraId="1DAE6293">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3．促进制造业供应链智能发展，深入实施智能制造工程，推动物联网、人工智能技术在制造业领域深度赋能应用，协同打造一批智能工厂和智慧供应链，加速产业模式和企业形态变革。</w:t>
      </w:r>
    </w:p>
    <w:p w14:paraId="460867E9">
      <w:pPr>
        <w:spacing w:line="580" w:lineRule="exact"/>
        <w:ind w:firstLine="640" w:firstLineChars="200"/>
        <w:rPr>
          <w:rFonts w:ascii="Times New Roman" w:hAnsi="Times New Roman" w:eastAsia="仿宋_GB2312"/>
          <w:color w:val="000000"/>
          <w:sz w:val="32"/>
          <w:szCs w:val="32"/>
          <w14:ligatures w14:val="none"/>
        </w:rPr>
      </w:pPr>
    </w:p>
    <w:p w14:paraId="4B872C90">
      <w:pPr>
        <w:spacing w:line="580" w:lineRule="exact"/>
        <w:ind w:firstLine="643" w:firstLineChars="200"/>
        <w:rPr>
          <w:rFonts w:ascii="Times New Roman" w:hAnsi="Times New Roman" w:eastAsia="仿宋_GB2312"/>
          <w:b/>
          <w:bCs/>
          <w:color w:val="000000"/>
          <w:sz w:val="32"/>
          <w:szCs w:val="32"/>
          <w14:ligatures w14:val="none"/>
        </w:rPr>
      </w:pPr>
      <w:r>
        <w:rPr>
          <w:rFonts w:hint="eastAsia" w:ascii="Times New Roman" w:hAnsi="Times New Roman" w:eastAsia="仿宋_GB2312"/>
          <w:b/>
          <w:bCs/>
          <w:color w:val="000000"/>
          <w:sz w:val="32"/>
          <w:szCs w:val="32"/>
          <w14:ligatures w14:val="none"/>
        </w:rPr>
        <w:t>（二）主题分享</w:t>
      </w:r>
    </w:p>
    <w:p w14:paraId="1BC55EC4">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1．网络货运平台、网络水运平台、多式联运平台、供应链平台数字化革新应用与管理运营创新；</w:t>
      </w:r>
    </w:p>
    <w:p w14:paraId="7DD13F7E">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2．分析数字技术如何促进物流平台与供应链协同发展及助力行业扩展业务边界；</w:t>
      </w:r>
    </w:p>
    <w:p w14:paraId="5F7DD11D">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3．低空经济、新能源技术、零碳绿色物流、智能商用车及无人驾驶技术等新模式政策利好与发展前景；</w:t>
      </w:r>
    </w:p>
    <w:p w14:paraId="78CC279D">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4．探索行业数据开放互联与平台标准化建设思路；</w:t>
      </w:r>
    </w:p>
    <w:p w14:paraId="4B18A952">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5．探讨数字化时代下物流行业人才培养的需求和方向。</w:t>
      </w:r>
    </w:p>
    <w:p w14:paraId="0C248F3A">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四、26日下午：平行分论坛（包括主题演讲和嘉宾互动）</w:t>
      </w:r>
    </w:p>
    <w:p w14:paraId="71974EC7">
      <w:pPr>
        <w:spacing w:line="580" w:lineRule="exact"/>
        <w:ind w:firstLine="643" w:firstLineChars="200"/>
        <w:rPr>
          <w:rFonts w:ascii="Times New Roman" w:hAnsi="Times New Roman" w:eastAsia="仿宋_GB2312"/>
          <w:b/>
          <w:bCs/>
          <w:color w:val="000000"/>
          <w:sz w:val="32"/>
          <w:szCs w:val="32"/>
          <w14:ligatures w14:val="none"/>
        </w:rPr>
      </w:pPr>
      <w:r>
        <w:rPr>
          <w:rFonts w:hint="eastAsia" w:ascii="Times New Roman" w:hAnsi="Times New Roman" w:eastAsia="仿宋_GB2312"/>
          <w:b/>
          <w:bCs/>
          <w:color w:val="000000"/>
          <w:sz w:val="32"/>
          <w:szCs w:val="32"/>
          <w14:ligatures w14:val="none"/>
        </w:rPr>
        <w:t>分论坛一：平台经济赋能产业数字新生态、数智化物流引领行业高质量发展</w:t>
      </w:r>
    </w:p>
    <w:p w14:paraId="54B616A9">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1．以网络货运为代表的平台经济在物流数字化转型中的关键赋能路径；</w:t>
      </w:r>
    </w:p>
    <w:p w14:paraId="689040A9">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2．平台经济驱动下海量数据的采集、存储、分析与应用案例；</w:t>
      </w:r>
    </w:p>
    <w:p w14:paraId="010D897C">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3．平台供应链新质生产力的探索与落地实践；</w:t>
      </w:r>
    </w:p>
    <w:p w14:paraId="7F6017B6">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4．物流数智化与平台经济协同发展策略与生态构建；</w:t>
      </w:r>
    </w:p>
    <w:p w14:paraId="247A8DC4">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5．物流数字化转型过程中的供应链效率优化与服务质量提升方法。</w:t>
      </w:r>
    </w:p>
    <w:p w14:paraId="0C9D65C2">
      <w:pPr>
        <w:spacing w:line="580" w:lineRule="exact"/>
        <w:ind w:firstLine="643" w:firstLineChars="200"/>
        <w:rPr>
          <w:rFonts w:ascii="Times New Roman" w:hAnsi="Times New Roman" w:eastAsia="仿宋_GB2312"/>
          <w:b/>
          <w:bCs/>
          <w:color w:val="000000"/>
          <w:sz w:val="32"/>
          <w:szCs w:val="32"/>
          <w14:ligatures w14:val="none"/>
        </w:rPr>
      </w:pPr>
      <w:r>
        <w:rPr>
          <w:rFonts w:hint="eastAsia" w:ascii="Times New Roman" w:hAnsi="Times New Roman" w:eastAsia="仿宋_GB2312"/>
          <w:b/>
          <w:bCs/>
          <w:color w:val="000000"/>
          <w:sz w:val="32"/>
          <w:szCs w:val="32"/>
          <w14:ligatures w14:val="none"/>
        </w:rPr>
        <w:t>分论坛二：“AI+物流”重塑产业发展新格局</w:t>
      </w:r>
    </w:p>
    <w:p w14:paraId="0D5576E1">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1．AI重塑物流运营的底层逻辑---智能决策与流程再造；</w:t>
      </w:r>
    </w:p>
    <w:p w14:paraId="22BE6072">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2．探讨AI驱动的自动化设备对改变劳动力结构、提升作业安全性与准确性的作用；</w:t>
      </w:r>
    </w:p>
    <w:p w14:paraId="7C86AC8F">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3．AI如何处理和分析海量的物流及供应链数据，实现跨企业、跨环节的信息透明与实时共享；</w:t>
      </w:r>
    </w:p>
    <w:p w14:paraId="5596DE29">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4．AI助力可持续供应链转型---绿色智能物流的探索与实践；</w:t>
      </w:r>
    </w:p>
    <w:p w14:paraId="17D5C09C">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5．AI+物流产业格局重塑中的机遇、挑战与人才培养。</w:t>
      </w:r>
    </w:p>
    <w:p w14:paraId="7E4AE1DB">
      <w:pPr>
        <w:spacing w:line="580" w:lineRule="exact"/>
        <w:ind w:firstLine="643" w:firstLineChars="200"/>
        <w:rPr>
          <w:rFonts w:ascii="Times New Roman" w:hAnsi="Times New Roman" w:eastAsia="仿宋_GB2312"/>
          <w:b/>
          <w:bCs/>
          <w:color w:val="000000"/>
          <w:sz w:val="32"/>
          <w:szCs w:val="32"/>
          <w14:ligatures w14:val="none"/>
        </w:rPr>
      </w:pPr>
      <w:r>
        <w:rPr>
          <w:rFonts w:hint="eastAsia" w:ascii="Times New Roman" w:hAnsi="Times New Roman" w:eastAsia="仿宋_GB2312"/>
          <w:b/>
          <w:bCs/>
          <w:color w:val="000000"/>
          <w:sz w:val="32"/>
          <w:szCs w:val="32"/>
          <w14:ligatures w14:val="none"/>
        </w:rPr>
        <w:t>分论坛三：多式联运体系建设与运输结构优化布局、智慧物流体系多模式融合发展</w:t>
      </w:r>
    </w:p>
    <w:p w14:paraId="19C78FD0">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1．我国多式联运发展背景、现状、前景、最新政策解析；</w:t>
      </w:r>
    </w:p>
    <w:p w14:paraId="17E4DEC7">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2．多式联运信息互联互通开放共享技术应用、单证服务功能深化拓展与数字化创新提质增效思路；</w:t>
      </w:r>
    </w:p>
    <w:p w14:paraId="42434552">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3．基于供应链平台的公铁水联运数字化实践成果分享；</w:t>
      </w:r>
    </w:p>
    <w:p w14:paraId="29C72A24">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4．低空经济、网络水运平台等与传统公路、铁路、航空物流在智慧物流体系中的融合发展策略；</w:t>
      </w:r>
    </w:p>
    <w:p w14:paraId="58A86844">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5．基于国际电商&amp;跨境物流的多式联运体系建设。</w:t>
      </w:r>
    </w:p>
    <w:p w14:paraId="4FB4D397">
      <w:pPr>
        <w:spacing w:line="580" w:lineRule="exact"/>
        <w:ind w:firstLine="643" w:firstLineChars="200"/>
        <w:rPr>
          <w:rFonts w:ascii="Times New Roman" w:hAnsi="Times New Roman" w:eastAsia="仿宋_GB2312"/>
          <w:b/>
          <w:bCs/>
          <w:color w:val="000000"/>
          <w:sz w:val="32"/>
          <w:szCs w:val="32"/>
          <w14:ligatures w14:val="none"/>
        </w:rPr>
      </w:pPr>
      <w:r>
        <w:rPr>
          <w:rFonts w:hint="eastAsia" w:ascii="Times New Roman" w:hAnsi="Times New Roman" w:eastAsia="仿宋_GB2312"/>
          <w:b/>
          <w:bCs/>
          <w:color w:val="000000"/>
          <w:sz w:val="32"/>
          <w:szCs w:val="32"/>
          <w14:ligatures w14:val="none"/>
        </w:rPr>
        <w:t>分论坛四：物流与供应链数据治理、资产入表及数据价值释放</w:t>
      </w:r>
    </w:p>
    <w:p w14:paraId="67262E5B">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1．物流数据的采集与整合、监管与共享、安全与保护等思考；</w:t>
      </w:r>
    </w:p>
    <w:p w14:paraId="3ECD457B">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2．数据资产的确认计量、财务处理、资产入表等应用实践案例分享；</w:t>
      </w:r>
    </w:p>
    <w:p w14:paraId="63EF5327">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3．数据的深度分析、挖掘及驱动物流决策优化与增值服务创新；</w:t>
      </w:r>
    </w:p>
    <w:p w14:paraId="6F55E657">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4．物流与供应链行业数据要素价值转化路径与方法；</w:t>
      </w:r>
    </w:p>
    <w:p w14:paraId="4D729C61">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5．新技术在数据处理、分析和挖掘的创新应用。</w:t>
      </w:r>
    </w:p>
    <w:p w14:paraId="40E609FC">
      <w:pPr>
        <w:spacing w:line="580" w:lineRule="exact"/>
        <w:ind w:firstLine="643" w:firstLineChars="200"/>
        <w:rPr>
          <w:rFonts w:ascii="Times New Roman" w:hAnsi="Times New Roman" w:eastAsia="仿宋_GB2312"/>
          <w:color w:val="000000"/>
          <w:sz w:val="32"/>
          <w:szCs w:val="32"/>
          <w14:ligatures w14:val="none"/>
        </w:rPr>
      </w:pPr>
      <w:r>
        <w:rPr>
          <w:rFonts w:hint="eastAsia" w:ascii="Times New Roman" w:hAnsi="Times New Roman" w:eastAsia="仿宋_GB2312"/>
          <w:b/>
          <w:bCs/>
          <w:color w:val="000000"/>
          <w:sz w:val="32"/>
          <w:szCs w:val="32"/>
          <w14:ligatures w14:val="none"/>
        </w:rPr>
        <w:t>分论坛五：数智供应链人才的需求及培育展望</w:t>
      </w:r>
    </w:p>
    <w:p w14:paraId="5419CCBB">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1．普通高等院校、职业学校加大数智供应链相关学科专业人才培养和引进力度，推进相关特色学院建设；</w:t>
      </w:r>
    </w:p>
    <w:p w14:paraId="7CD00702">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2．企业如何与高等学校、科研院所协同育人，增强创新型、应用型、复合型数智供应链人才供给；</w:t>
      </w:r>
    </w:p>
    <w:p w14:paraId="53A9D934">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3．建立首席供应链官、首席数据官制度对促进我国物流与供应链数字化的意义。</w:t>
      </w:r>
    </w:p>
    <w:p w14:paraId="35FE74EF">
      <w:pPr>
        <w:spacing w:line="580" w:lineRule="exact"/>
        <w:ind w:firstLine="643" w:firstLineChars="200"/>
        <w:rPr>
          <w:rFonts w:ascii="Times New Roman" w:hAnsi="Times New Roman" w:eastAsia="仿宋_GB2312"/>
          <w:b/>
          <w:bCs/>
          <w:color w:val="000000"/>
          <w:sz w:val="32"/>
          <w:szCs w:val="32"/>
          <w14:ligatures w14:val="none"/>
        </w:rPr>
      </w:pPr>
      <w:r>
        <w:rPr>
          <w:rFonts w:hint="eastAsia" w:ascii="Times New Roman" w:hAnsi="Times New Roman" w:eastAsia="仿宋_GB2312"/>
          <w:b/>
          <w:bCs/>
          <w:color w:val="000000"/>
          <w:sz w:val="32"/>
          <w:szCs w:val="32"/>
          <w14:ligatures w14:val="none"/>
        </w:rPr>
        <w:t>分论坛六：深度探索绿色低碳物流助力产业链供应链可持续发展</w:t>
      </w:r>
    </w:p>
    <w:p w14:paraId="7DD8D4E1">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1．低碳绿色物流的政策支持与市场机制研判分析；</w:t>
      </w:r>
    </w:p>
    <w:p w14:paraId="026BB6B3">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2．新能源、新能源车等绿色物流技术与装备应用在供应链运营模式中的可持续赋能；</w:t>
      </w:r>
    </w:p>
    <w:p w14:paraId="794CA759">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3．绿色物流及低碳降本的实践路径与落地策略；</w:t>
      </w:r>
    </w:p>
    <w:p w14:paraId="0CBCF5A0">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4．数字化技术在绿色物流中的创新应用与价值创造；</w:t>
      </w:r>
    </w:p>
    <w:p w14:paraId="4827C215">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5．绿色物流基础设施建设与区域协同发展策略；</w:t>
      </w:r>
    </w:p>
    <w:p w14:paraId="384D79FE">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6．新能源商用车电池安全回收问题探讨。</w:t>
      </w:r>
    </w:p>
    <w:p w14:paraId="0F4DE15D">
      <w:pPr>
        <w:spacing w:line="580" w:lineRule="exact"/>
        <w:ind w:firstLine="640" w:firstLineChars="200"/>
        <w:rPr>
          <w:rFonts w:ascii="Times New Roman" w:hAnsi="Times New Roman" w:eastAsia="仿宋_GB2312"/>
          <w:color w:val="000000" w:themeColor="text1"/>
          <w:sz w:val="32"/>
          <w:szCs w:val="32"/>
          <w14:textFill>
            <w14:solidFill>
              <w14:schemeClr w14:val="tx1"/>
            </w14:solidFill>
          </w14:textFill>
          <w14:ligatures w14:val="none"/>
        </w:rPr>
      </w:pPr>
      <w:r>
        <w:rPr>
          <w:rFonts w:hint="eastAsia" w:ascii="Times New Roman" w:hAnsi="Times New Roman" w:eastAsia="仿宋_GB2312"/>
          <w:color w:val="000000" w:themeColor="text1"/>
          <w:sz w:val="32"/>
          <w:szCs w:val="32"/>
          <w14:textFill>
            <w14:solidFill>
              <w14:schemeClr w14:val="tx1"/>
            </w14:solidFill>
          </w14:textFill>
          <w14:ligatures w14:val="none"/>
        </w:rPr>
        <w:t>五、27日全天：网络货运公开课</w:t>
      </w:r>
    </w:p>
    <w:p w14:paraId="39CB6954">
      <w:pPr>
        <w:spacing w:line="580" w:lineRule="exact"/>
        <w:ind w:firstLine="640" w:firstLineChars="200"/>
        <w:rPr>
          <w:rFonts w:ascii="Times New Roman" w:hAnsi="Times New Roman" w:eastAsia="仿宋_GB2312"/>
          <w:color w:val="000000" w:themeColor="text1"/>
          <w:sz w:val="32"/>
          <w:szCs w:val="32"/>
          <w14:textFill>
            <w14:solidFill>
              <w14:schemeClr w14:val="tx1"/>
            </w14:solidFill>
          </w14:textFill>
          <w14:ligatures w14:val="none"/>
        </w:rPr>
      </w:pPr>
      <w:r>
        <w:rPr>
          <w:rFonts w:hint="eastAsia" w:ascii="Times New Roman" w:hAnsi="Times New Roman" w:eastAsia="仿宋_GB2312"/>
          <w:color w:val="000000" w:themeColor="text1"/>
          <w:sz w:val="32"/>
          <w:szCs w:val="32"/>
          <w14:textFill>
            <w14:solidFill>
              <w14:schemeClr w14:val="tx1"/>
            </w14:solidFill>
          </w14:textFill>
          <w14:ligatures w14:val="none"/>
        </w:rPr>
        <w:t>《数字化时代的网络货运平台核心竞争力构建：趋势、策略与实战》</w:t>
      </w:r>
    </w:p>
    <w:p w14:paraId="4B948C5D">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1．剧变时代下的物流企业转型；</w:t>
      </w:r>
    </w:p>
    <w:p w14:paraId="1CD9A541">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2．网络货运行业趋势与政策解读；</w:t>
      </w:r>
    </w:p>
    <w:p w14:paraId="64A55D71">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3．网络货运商业模式创新与增长策略；</w:t>
      </w:r>
    </w:p>
    <w:p w14:paraId="36FEA60C">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4．网络货运财税解决方案及实务；</w:t>
      </w:r>
    </w:p>
    <w:p w14:paraId="6234E6B6">
      <w:pPr>
        <w:spacing w:line="580" w:lineRule="exact"/>
        <w:ind w:firstLine="640" w:firstLineChars="200"/>
        <w:rPr>
          <w:rFonts w:ascii="Times New Roman" w:hAnsi="Times New Roman" w:eastAsia="仿宋_GB2312"/>
          <w:color w:val="000000"/>
          <w:sz w:val="32"/>
          <w:szCs w:val="32"/>
          <w14:ligatures w14:val="none"/>
        </w:rPr>
      </w:pPr>
      <w:r>
        <w:rPr>
          <w:rFonts w:hint="eastAsia" w:ascii="Times New Roman" w:hAnsi="Times New Roman" w:eastAsia="仿宋_GB2312"/>
          <w:color w:val="000000"/>
          <w:sz w:val="32"/>
          <w:szCs w:val="32"/>
          <w14:ligatures w14:val="none"/>
        </w:rPr>
        <w:t>5．网络货运组织能力升级；</w:t>
      </w:r>
    </w:p>
    <w:p w14:paraId="1E7CDCDF">
      <w:pPr>
        <w:spacing w:line="580" w:lineRule="exact"/>
        <w:ind w:firstLine="640" w:firstLineChars="200"/>
        <w:rPr>
          <w:rFonts w:ascii="Times New Roman" w:hAnsi="Times New Roman" w:eastAsia="仿宋"/>
          <w:sz w:val="30"/>
          <w:szCs w:val="30"/>
        </w:rPr>
      </w:pPr>
      <w:r>
        <w:rPr>
          <w:rFonts w:hint="eastAsia" w:ascii="Times New Roman" w:hAnsi="Times New Roman" w:eastAsia="仿宋_GB2312"/>
          <w:color w:val="000000"/>
          <w:sz w:val="32"/>
          <w:szCs w:val="32"/>
          <w14:ligatures w14:val="none"/>
        </w:rPr>
        <w:t>6．网络货运科技驱动与最佳实践。</w:t>
      </w:r>
      <w:bookmarkStart w:id="0" w:name="_GoBack"/>
      <w:bookmarkEnd w:id="0"/>
    </w:p>
    <w:sectPr>
      <w:footerReference r:id="rId3" w:type="default"/>
      <w:footerReference r:id="rId4" w:type="even"/>
      <w:pgSz w:w="11906" w:h="16838"/>
      <w:pgMar w:top="1440" w:right="1587" w:bottom="1440" w:left="1587" w:header="851" w:footer="158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6AFDAE">
    <w:pPr>
      <w:pStyle w:val="12"/>
      <w:ind w:left="5250"/>
      <w:jc w:val="right"/>
      <w:rPr>
        <w:rFonts w:ascii="Times New Roman" w:hAnsi="Times New Roman"/>
      </w:rPr>
    </w:pPr>
    <w:r>
      <w:rPr>
        <w:rStyle w:val="19"/>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PAGE</w:instrText>
    </w:r>
    <w:r>
      <w:rPr>
        <w:rFonts w:ascii="Times New Roman" w:hAnsi="Times New Roman"/>
        <w:sz w:val="28"/>
        <w:szCs w:val="28"/>
      </w:rPr>
      <w:fldChar w:fldCharType="separate"/>
    </w:r>
    <w:r>
      <w:rPr>
        <w:rFonts w:ascii="Times New Roman" w:hAnsi="Times New Roman"/>
        <w:sz w:val="28"/>
        <w:szCs w:val="28"/>
      </w:rPr>
      <w:t>9</w:t>
    </w:r>
    <w:r>
      <w:rPr>
        <w:rFonts w:ascii="Times New Roman" w:hAnsi="Times New Roman"/>
        <w:sz w:val="28"/>
        <w:szCs w:val="28"/>
      </w:rPr>
      <w:fldChar w:fldCharType="end"/>
    </w:r>
    <w:r>
      <w:rPr>
        <w:rStyle w:val="19"/>
        <w:rFonts w:ascii="Times New Roman" w:hAnsi="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BDF9D">
    <w:pPr>
      <w:pStyle w:val="12"/>
      <w:rPr>
        <w:rFonts w:ascii="Times New Roman" w:hAnsi="Times New Roman"/>
      </w:rPr>
    </w:pPr>
    <w:r>
      <w:rPr>
        <w:rStyle w:val="19"/>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PAGE</w:instrText>
    </w:r>
    <w:r>
      <w:rPr>
        <w:rFonts w:ascii="Times New Roman" w:hAnsi="Times New Roman"/>
        <w:sz w:val="28"/>
        <w:szCs w:val="28"/>
      </w:rPr>
      <w:fldChar w:fldCharType="separate"/>
    </w:r>
    <w:r>
      <w:rPr>
        <w:rFonts w:ascii="Times New Roman" w:hAnsi="Times New Roman"/>
        <w:sz w:val="28"/>
        <w:szCs w:val="28"/>
      </w:rPr>
      <w:t>8</w:t>
    </w:r>
    <w:r>
      <w:rPr>
        <w:rFonts w:ascii="Times New Roman" w:hAnsi="Times New Roman"/>
        <w:sz w:val="28"/>
        <w:szCs w:val="28"/>
      </w:rPr>
      <w:fldChar w:fldCharType="end"/>
    </w:r>
    <w:r>
      <w:rPr>
        <w:rStyle w:val="19"/>
        <w:rFonts w:ascii="Times New Roman" w:hAnsi="Times New Roman"/>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2475"/>
    <w:rsid w:val="00007199"/>
    <w:rsid w:val="00007FD2"/>
    <w:rsid w:val="00012392"/>
    <w:rsid w:val="00022B9B"/>
    <w:rsid w:val="00026519"/>
    <w:rsid w:val="00026EF4"/>
    <w:rsid w:val="000465D9"/>
    <w:rsid w:val="00057592"/>
    <w:rsid w:val="0007549B"/>
    <w:rsid w:val="00077A1E"/>
    <w:rsid w:val="00080BCC"/>
    <w:rsid w:val="0008445E"/>
    <w:rsid w:val="000901AD"/>
    <w:rsid w:val="000A77A7"/>
    <w:rsid w:val="000A78AE"/>
    <w:rsid w:val="000D1FAF"/>
    <w:rsid w:val="000D2475"/>
    <w:rsid w:val="000D3733"/>
    <w:rsid w:val="000D5010"/>
    <w:rsid w:val="000E746F"/>
    <w:rsid w:val="000F1B98"/>
    <w:rsid w:val="000F644C"/>
    <w:rsid w:val="00101C61"/>
    <w:rsid w:val="001158F8"/>
    <w:rsid w:val="00117905"/>
    <w:rsid w:val="00124F70"/>
    <w:rsid w:val="00146B6A"/>
    <w:rsid w:val="0017635B"/>
    <w:rsid w:val="00177DB4"/>
    <w:rsid w:val="00182F0C"/>
    <w:rsid w:val="001834B0"/>
    <w:rsid w:val="001838AF"/>
    <w:rsid w:val="001D7945"/>
    <w:rsid w:val="001E005F"/>
    <w:rsid w:val="00200A1A"/>
    <w:rsid w:val="00202C86"/>
    <w:rsid w:val="00215532"/>
    <w:rsid w:val="002215EA"/>
    <w:rsid w:val="00252C81"/>
    <w:rsid w:val="00271FD7"/>
    <w:rsid w:val="0027387B"/>
    <w:rsid w:val="002B5C45"/>
    <w:rsid w:val="002C7CC6"/>
    <w:rsid w:val="002E1233"/>
    <w:rsid w:val="002E1D6A"/>
    <w:rsid w:val="002E4CDB"/>
    <w:rsid w:val="002E7C30"/>
    <w:rsid w:val="002F36C9"/>
    <w:rsid w:val="002F6494"/>
    <w:rsid w:val="002F71AA"/>
    <w:rsid w:val="002F7CD5"/>
    <w:rsid w:val="00313590"/>
    <w:rsid w:val="00315E88"/>
    <w:rsid w:val="00322DAF"/>
    <w:rsid w:val="0034452C"/>
    <w:rsid w:val="003467D8"/>
    <w:rsid w:val="00351367"/>
    <w:rsid w:val="003601CE"/>
    <w:rsid w:val="00367F6F"/>
    <w:rsid w:val="00373D28"/>
    <w:rsid w:val="0038781F"/>
    <w:rsid w:val="00392573"/>
    <w:rsid w:val="003A00CB"/>
    <w:rsid w:val="003A3DBD"/>
    <w:rsid w:val="003B45B7"/>
    <w:rsid w:val="003C21DC"/>
    <w:rsid w:val="003E210E"/>
    <w:rsid w:val="003E382F"/>
    <w:rsid w:val="003F4CD6"/>
    <w:rsid w:val="00404BB7"/>
    <w:rsid w:val="004131FA"/>
    <w:rsid w:val="00415AF5"/>
    <w:rsid w:val="004214C0"/>
    <w:rsid w:val="004374A6"/>
    <w:rsid w:val="0045398D"/>
    <w:rsid w:val="004805B9"/>
    <w:rsid w:val="00497278"/>
    <w:rsid w:val="004B0623"/>
    <w:rsid w:val="004C49C1"/>
    <w:rsid w:val="004C5300"/>
    <w:rsid w:val="004E358F"/>
    <w:rsid w:val="005029FC"/>
    <w:rsid w:val="005125D0"/>
    <w:rsid w:val="005246EF"/>
    <w:rsid w:val="00531085"/>
    <w:rsid w:val="00544F25"/>
    <w:rsid w:val="0055649B"/>
    <w:rsid w:val="00561BC7"/>
    <w:rsid w:val="005631A5"/>
    <w:rsid w:val="00573B74"/>
    <w:rsid w:val="0057547F"/>
    <w:rsid w:val="00575E9B"/>
    <w:rsid w:val="005802F2"/>
    <w:rsid w:val="005A15F5"/>
    <w:rsid w:val="005A5E9C"/>
    <w:rsid w:val="005A64C3"/>
    <w:rsid w:val="005D6DCA"/>
    <w:rsid w:val="005D7C15"/>
    <w:rsid w:val="006075F4"/>
    <w:rsid w:val="00613B4C"/>
    <w:rsid w:val="00631C9B"/>
    <w:rsid w:val="00633CC0"/>
    <w:rsid w:val="006407A6"/>
    <w:rsid w:val="00663752"/>
    <w:rsid w:val="00666915"/>
    <w:rsid w:val="00674E74"/>
    <w:rsid w:val="00691469"/>
    <w:rsid w:val="006C2ED4"/>
    <w:rsid w:val="006D150D"/>
    <w:rsid w:val="006D4298"/>
    <w:rsid w:val="006F069A"/>
    <w:rsid w:val="006F35E6"/>
    <w:rsid w:val="00701B9C"/>
    <w:rsid w:val="0070426C"/>
    <w:rsid w:val="007417D2"/>
    <w:rsid w:val="007474D9"/>
    <w:rsid w:val="00755852"/>
    <w:rsid w:val="00786F79"/>
    <w:rsid w:val="007A333A"/>
    <w:rsid w:val="007A556A"/>
    <w:rsid w:val="007A6842"/>
    <w:rsid w:val="007C48EC"/>
    <w:rsid w:val="007E3782"/>
    <w:rsid w:val="007F5431"/>
    <w:rsid w:val="007F5D8A"/>
    <w:rsid w:val="008319A5"/>
    <w:rsid w:val="00843F62"/>
    <w:rsid w:val="00847066"/>
    <w:rsid w:val="00847ECE"/>
    <w:rsid w:val="00854BB5"/>
    <w:rsid w:val="008678D8"/>
    <w:rsid w:val="008A4F6A"/>
    <w:rsid w:val="008B5B5C"/>
    <w:rsid w:val="008C1E0C"/>
    <w:rsid w:val="008C36A6"/>
    <w:rsid w:val="008C5270"/>
    <w:rsid w:val="008E0658"/>
    <w:rsid w:val="008F29A7"/>
    <w:rsid w:val="00913EE3"/>
    <w:rsid w:val="0091519C"/>
    <w:rsid w:val="009217B4"/>
    <w:rsid w:val="009324D2"/>
    <w:rsid w:val="009401B4"/>
    <w:rsid w:val="009424DB"/>
    <w:rsid w:val="00944184"/>
    <w:rsid w:val="00954A5A"/>
    <w:rsid w:val="00955F67"/>
    <w:rsid w:val="00967EF2"/>
    <w:rsid w:val="00982719"/>
    <w:rsid w:val="00983B1A"/>
    <w:rsid w:val="00991D90"/>
    <w:rsid w:val="009C4683"/>
    <w:rsid w:val="009D7032"/>
    <w:rsid w:val="009E7C56"/>
    <w:rsid w:val="009F3C20"/>
    <w:rsid w:val="00A002F8"/>
    <w:rsid w:val="00A11218"/>
    <w:rsid w:val="00A141D0"/>
    <w:rsid w:val="00A2154A"/>
    <w:rsid w:val="00A364F5"/>
    <w:rsid w:val="00A63C0C"/>
    <w:rsid w:val="00AA1D77"/>
    <w:rsid w:val="00AA27C4"/>
    <w:rsid w:val="00AA3DD1"/>
    <w:rsid w:val="00AB6DD6"/>
    <w:rsid w:val="00AC1540"/>
    <w:rsid w:val="00AC20EA"/>
    <w:rsid w:val="00AC29C2"/>
    <w:rsid w:val="00AC2C27"/>
    <w:rsid w:val="00AE45C8"/>
    <w:rsid w:val="00AF6953"/>
    <w:rsid w:val="00B21A1C"/>
    <w:rsid w:val="00B223E1"/>
    <w:rsid w:val="00B23F9F"/>
    <w:rsid w:val="00B2639A"/>
    <w:rsid w:val="00B31DB2"/>
    <w:rsid w:val="00B45D8E"/>
    <w:rsid w:val="00B51104"/>
    <w:rsid w:val="00B97F1A"/>
    <w:rsid w:val="00BA010F"/>
    <w:rsid w:val="00BA1AFA"/>
    <w:rsid w:val="00BA78D5"/>
    <w:rsid w:val="00BC6E08"/>
    <w:rsid w:val="00BC764F"/>
    <w:rsid w:val="00BE15BB"/>
    <w:rsid w:val="00C1009C"/>
    <w:rsid w:val="00C10CC7"/>
    <w:rsid w:val="00C230AB"/>
    <w:rsid w:val="00C24EC2"/>
    <w:rsid w:val="00C26781"/>
    <w:rsid w:val="00C3484D"/>
    <w:rsid w:val="00C46CA8"/>
    <w:rsid w:val="00C57FE3"/>
    <w:rsid w:val="00C70097"/>
    <w:rsid w:val="00CA7A99"/>
    <w:rsid w:val="00CC6E50"/>
    <w:rsid w:val="00CF25FB"/>
    <w:rsid w:val="00D347A4"/>
    <w:rsid w:val="00D368FF"/>
    <w:rsid w:val="00D40A88"/>
    <w:rsid w:val="00D51A74"/>
    <w:rsid w:val="00D80816"/>
    <w:rsid w:val="00D84EB2"/>
    <w:rsid w:val="00D85ACA"/>
    <w:rsid w:val="00D910B2"/>
    <w:rsid w:val="00D92BA3"/>
    <w:rsid w:val="00D96FCB"/>
    <w:rsid w:val="00D971C1"/>
    <w:rsid w:val="00DB2A99"/>
    <w:rsid w:val="00DD13F8"/>
    <w:rsid w:val="00DD1A6B"/>
    <w:rsid w:val="00DD2389"/>
    <w:rsid w:val="00DD70C7"/>
    <w:rsid w:val="00DE1F58"/>
    <w:rsid w:val="00DF6E05"/>
    <w:rsid w:val="00E0185C"/>
    <w:rsid w:val="00E150B2"/>
    <w:rsid w:val="00E5037E"/>
    <w:rsid w:val="00E5640D"/>
    <w:rsid w:val="00E67BF8"/>
    <w:rsid w:val="00E71D16"/>
    <w:rsid w:val="00E73D4C"/>
    <w:rsid w:val="00E90B43"/>
    <w:rsid w:val="00E91B86"/>
    <w:rsid w:val="00E95E62"/>
    <w:rsid w:val="00EB06D8"/>
    <w:rsid w:val="00EB59AA"/>
    <w:rsid w:val="00EC1FED"/>
    <w:rsid w:val="00EC3049"/>
    <w:rsid w:val="00ED7505"/>
    <w:rsid w:val="00ED761B"/>
    <w:rsid w:val="00EF3B9D"/>
    <w:rsid w:val="00EF4B19"/>
    <w:rsid w:val="00F035FA"/>
    <w:rsid w:val="00F06715"/>
    <w:rsid w:val="00F30988"/>
    <w:rsid w:val="00F34629"/>
    <w:rsid w:val="00F36ADC"/>
    <w:rsid w:val="00F36C84"/>
    <w:rsid w:val="00F53EE9"/>
    <w:rsid w:val="00F62B63"/>
    <w:rsid w:val="00F66E75"/>
    <w:rsid w:val="00F76F82"/>
    <w:rsid w:val="00F80955"/>
    <w:rsid w:val="00F8227A"/>
    <w:rsid w:val="00F9614E"/>
    <w:rsid w:val="00FA238E"/>
    <w:rsid w:val="00FA46CB"/>
    <w:rsid w:val="00FB37BB"/>
    <w:rsid w:val="00FB5309"/>
    <w:rsid w:val="00FD31EE"/>
    <w:rsid w:val="1E287607"/>
    <w:rsid w:val="23BF1325"/>
    <w:rsid w:val="2D4F213B"/>
    <w:rsid w:val="3D1A461B"/>
    <w:rsid w:val="3E2F3CB1"/>
    <w:rsid w:val="50DE0C31"/>
    <w:rsid w:val="538674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1"/>
      <w:lang w:val="en-US" w:eastAsia="zh-CN" w:bidi="ar-SA"/>
      <w14:ligatures w14:val="standardContextual"/>
    </w:rPr>
  </w:style>
  <w:style w:type="paragraph" w:styleId="2">
    <w:name w:val="heading 1"/>
    <w:basedOn w:val="1"/>
    <w:next w:val="1"/>
    <w:link w:val="20"/>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1"/>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2"/>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3"/>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4"/>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5"/>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6"/>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7"/>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8"/>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8">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11">
    <w:name w:val="Date"/>
    <w:basedOn w:val="1"/>
    <w:next w:val="1"/>
    <w:link w:val="38"/>
    <w:semiHidden/>
    <w:unhideWhenUsed/>
    <w:qFormat/>
    <w:uiPriority w:val="99"/>
    <w:pPr>
      <w:ind w:left="100" w:leftChars="2500"/>
    </w:pPr>
  </w:style>
  <w:style w:type="paragraph" w:styleId="12">
    <w:name w:val="footer"/>
    <w:basedOn w:val="1"/>
    <w:link w:val="40"/>
    <w:unhideWhenUsed/>
    <w:qFormat/>
    <w:uiPriority w:val="99"/>
    <w:pPr>
      <w:tabs>
        <w:tab w:val="center" w:pos="4153"/>
        <w:tab w:val="right" w:pos="8306"/>
      </w:tabs>
      <w:snapToGrid w:val="0"/>
      <w:jc w:val="left"/>
    </w:pPr>
    <w:rPr>
      <w:sz w:val="18"/>
      <w:szCs w:val="18"/>
    </w:rPr>
  </w:style>
  <w:style w:type="paragraph" w:styleId="13">
    <w:name w:val="header"/>
    <w:basedOn w:val="1"/>
    <w:link w:val="39"/>
    <w:unhideWhenUsed/>
    <w:qFormat/>
    <w:uiPriority w:val="99"/>
    <w:pPr>
      <w:tabs>
        <w:tab w:val="center" w:pos="4153"/>
        <w:tab w:val="right" w:pos="8306"/>
      </w:tabs>
      <w:snapToGrid w:val="0"/>
      <w:jc w:val="center"/>
    </w:pPr>
    <w:rPr>
      <w:sz w:val="18"/>
      <w:szCs w:val="18"/>
    </w:rPr>
  </w:style>
  <w:style w:type="paragraph" w:styleId="14">
    <w:name w:val="Subtitle"/>
    <w:basedOn w:val="1"/>
    <w:next w:val="1"/>
    <w:link w:val="30"/>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5">
    <w:name w:val="Title"/>
    <w:basedOn w:val="1"/>
    <w:next w:val="1"/>
    <w:link w:val="29"/>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character" w:customStyle="1" w:styleId="20">
    <w:name w:val="标题 1 字符"/>
    <w:basedOn w:val="18"/>
    <w:link w:val="2"/>
    <w:qFormat/>
    <w:uiPriority w:val="9"/>
    <w:rPr>
      <w:rFonts w:asciiTheme="majorHAnsi" w:hAnsiTheme="majorHAnsi" w:eastAsiaTheme="majorEastAsia" w:cstheme="majorBidi"/>
      <w:color w:val="104862" w:themeColor="accent1" w:themeShade="BF"/>
      <w:sz w:val="48"/>
      <w:szCs w:val="48"/>
    </w:rPr>
  </w:style>
  <w:style w:type="character" w:customStyle="1" w:styleId="21">
    <w:name w:val="标题 2 字符"/>
    <w:basedOn w:val="18"/>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2">
    <w:name w:val="标题 3 字符"/>
    <w:basedOn w:val="18"/>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3">
    <w:name w:val="标题 4 字符"/>
    <w:basedOn w:val="18"/>
    <w:link w:val="5"/>
    <w:semiHidden/>
    <w:qFormat/>
    <w:uiPriority w:val="9"/>
    <w:rPr>
      <w:rFonts w:cstheme="majorBidi"/>
      <w:color w:val="104862" w:themeColor="accent1" w:themeShade="BF"/>
      <w:sz w:val="28"/>
      <w:szCs w:val="28"/>
    </w:rPr>
  </w:style>
  <w:style w:type="character" w:customStyle="1" w:styleId="24">
    <w:name w:val="标题 5 字符"/>
    <w:basedOn w:val="18"/>
    <w:link w:val="6"/>
    <w:semiHidden/>
    <w:qFormat/>
    <w:uiPriority w:val="9"/>
    <w:rPr>
      <w:rFonts w:cstheme="majorBidi"/>
      <w:color w:val="104862" w:themeColor="accent1" w:themeShade="BF"/>
      <w:sz w:val="24"/>
      <w:szCs w:val="24"/>
    </w:rPr>
  </w:style>
  <w:style w:type="character" w:customStyle="1" w:styleId="25">
    <w:name w:val="标题 6 字符"/>
    <w:basedOn w:val="18"/>
    <w:link w:val="7"/>
    <w:semiHidden/>
    <w:qFormat/>
    <w:uiPriority w:val="9"/>
    <w:rPr>
      <w:rFonts w:cstheme="majorBidi"/>
      <w:b/>
      <w:bCs/>
      <w:color w:val="104862" w:themeColor="accent1" w:themeShade="BF"/>
    </w:rPr>
  </w:style>
  <w:style w:type="character" w:customStyle="1" w:styleId="26">
    <w:name w:val="标题 7 字符"/>
    <w:basedOn w:val="18"/>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7">
    <w:name w:val="标题 8 字符"/>
    <w:basedOn w:val="18"/>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8">
    <w:name w:val="标题 9 字符"/>
    <w:basedOn w:val="18"/>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9">
    <w:name w:val="标题 字符"/>
    <w:basedOn w:val="18"/>
    <w:link w:val="15"/>
    <w:qFormat/>
    <w:uiPriority w:val="10"/>
    <w:rPr>
      <w:rFonts w:asciiTheme="majorHAnsi" w:hAnsiTheme="majorHAnsi" w:eastAsiaTheme="majorEastAsia" w:cstheme="majorBidi"/>
      <w:spacing w:val="-10"/>
      <w:kern w:val="28"/>
      <w:sz w:val="56"/>
      <w:szCs w:val="56"/>
    </w:rPr>
  </w:style>
  <w:style w:type="character" w:customStyle="1" w:styleId="30">
    <w:name w:val="副标题 字符"/>
    <w:basedOn w:val="18"/>
    <w:link w:val="1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1">
    <w:name w:val="Quote"/>
    <w:basedOn w:val="1"/>
    <w:next w:val="1"/>
    <w:link w:val="32"/>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2">
    <w:name w:val="引用 字符"/>
    <w:basedOn w:val="18"/>
    <w:link w:val="31"/>
    <w:qFormat/>
    <w:uiPriority w:val="29"/>
    <w:rPr>
      <w:i/>
      <w:iCs/>
      <w:color w:val="404040" w:themeColor="text1" w:themeTint="BF"/>
      <w14:textFill>
        <w14:solidFill>
          <w14:schemeClr w14:val="tx1">
            <w14:lumMod w14:val="75000"/>
            <w14:lumOff w14:val="25000"/>
          </w14:schemeClr>
        </w14:solidFill>
      </w14:textFill>
    </w:rPr>
  </w:style>
  <w:style w:type="paragraph" w:styleId="33">
    <w:name w:val="List Paragraph"/>
    <w:basedOn w:val="1"/>
    <w:qFormat/>
    <w:uiPriority w:val="34"/>
    <w:pPr>
      <w:ind w:left="720"/>
      <w:contextualSpacing/>
    </w:pPr>
  </w:style>
  <w:style w:type="character" w:customStyle="1" w:styleId="34">
    <w:name w:val="明显强调1"/>
    <w:basedOn w:val="18"/>
    <w:qFormat/>
    <w:uiPriority w:val="21"/>
    <w:rPr>
      <w:i/>
      <w:iCs/>
      <w:color w:val="104862" w:themeColor="accent1" w:themeShade="BF"/>
    </w:rPr>
  </w:style>
  <w:style w:type="paragraph" w:styleId="35">
    <w:name w:val="Intense Quote"/>
    <w:basedOn w:val="1"/>
    <w:next w:val="1"/>
    <w:link w:val="36"/>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6">
    <w:name w:val="明显引用 字符"/>
    <w:basedOn w:val="18"/>
    <w:link w:val="35"/>
    <w:qFormat/>
    <w:uiPriority w:val="30"/>
    <w:rPr>
      <w:i/>
      <w:iCs/>
      <w:color w:val="104862" w:themeColor="accent1" w:themeShade="BF"/>
    </w:rPr>
  </w:style>
  <w:style w:type="character" w:customStyle="1" w:styleId="37">
    <w:name w:val="明显参考1"/>
    <w:basedOn w:val="18"/>
    <w:qFormat/>
    <w:uiPriority w:val="32"/>
    <w:rPr>
      <w:b/>
      <w:bCs/>
      <w:smallCaps/>
      <w:color w:val="104862" w:themeColor="accent1" w:themeShade="BF"/>
      <w:spacing w:val="5"/>
    </w:rPr>
  </w:style>
  <w:style w:type="character" w:customStyle="1" w:styleId="38">
    <w:name w:val="日期 字符"/>
    <w:basedOn w:val="18"/>
    <w:link w:val="11"/>
    <w:semiHidden/>
    <w:qFormat/>
    <w:uiPriority w:val="99"/>
    <w:rPr>
      <w:rFonts w:ascii="等线" w:hAnsi="等线" w:eastAsia="等线" w:cs="Times New Roman"/>
      <w:szCs w:val="21"/>
    </w:rPr>
  </w:style>
  <w:style w:type="character" w:customStyle="1" w:styleId="39">
    <w:name w:val="页眉 字符"/>
    <w:basedOn w:val="18"/>
    <w:link w:val="13"/>
    <w:qFormat/>
    <w:uiPriority w:val="99"/>
    <w:rPr>
      <w:rFonts w:ascii="等线" w:hAnsi="等线" w:eastAsia="等线"/>
      <w:kern w:val="2"/>
      <w:sz w:val="18"/>
      <w:szCs w:val="18"/>
      <w14:ligatures w14:val="standardContextual"/>
    </w:rPr>
  </w:style>
  <w:style w:type="character" w:customStyle="1" w:styleId="40">
    <w:name w:val="页脚 字符"/>
    <w:basedOn w:val="18"/>
    <w:link w:val="12"/>
    <w:qFormat/>
    <w:uiPriority w:val="99"/>
    <w:rPr>
      <w:rFonts w:ascii="等线" w:hAnsi="等线" w:eastAsia="等线"/>
      <w:kern w:val="2"/>
      <w:sz w:val="18"/>
      <w:szCs w:val="18"/>
      <w14:ligatures w14:val="standardContextua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3149</Words>
  <Characters>3290</Characters>
  <Lines>219</Lines>
  <Paragraphs>205</Paragraphs>
  <TotalTime>228</TotalTime>
  <ScaleCrop>false</ScaleCrop>
  <LinksUpToDate>false</LinksUpToDate>
  <CharactersWithSpaces>3329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2025-07-07T09:57:00Z</dcterms:created>
  <dc:creator>wei fan</dc:creator>
  <cp:lastModifiedBy>毛大毛</cp:lastModifiedBy>
  <cp:lastPrinted>2025-07-08T06:28:00Z</cp:lastPrinted>
  <dcterms:modified xsi:type="dcterms:W3CDTF">2025-07-21T04:02:52Z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eyJoZGlkIjoiOTQ2MWI3ZDFkZGNmNmU2YTY1YzJmNjFhZTFkZjgxYmMiLCJ1c2VySWQiOiI0MzM3MzI2MjkifQ==</vt:lpwstr>
  </property>
  <property fmtid="{D5CDD505-2E9C-101B-9397-08002B2CF9AE}" pid="3" name="KSOProductBuildVer">
    <vt:lpwstr>2052-12.1.0.21915</vt:lpwstr>
  </property>
  <property fmtid="{D5CDD505-2E9C-101B-9397-08002B2CF9AE}" pid="4" name="ICV">
    <vt:lpwstr>27257E518AC448FAAE7EDAEEC03B4AB7_13</vt:lpwstr>
  </property>
</Properties>
</file>